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89C94C" w14:textId="77777777" w:rsidR="008E4056"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837AE">
        <w:rPr>
          <w:rFonts w:ascii="Times New Roman" w:eastAsia="Times New Roman" w:hAnsi="Times New Roman" w:cs="Times New Roman"/>
          <w:b/>
          <w:noProof/>
          <w:sz w:val="16"/>
          <w:szCs w:val="24"/>
          <w:u w:val="single"/>
          <w:lang w:val="en-US"/>
        </w:rPr>
        <mc:AlternateContent>
          <mc:Choice Requires="wps">
            <w:drawing>
              <wp:anchor distT="0" distB="0" distL="114300" distR="114300" simplePos="0" relativeHeight="251659264" behindDoc="0" locked="0" layoutInCell="1" allowOverlap="1" wp14:anchorId="00D2EF51" wp14:editId="73D8969D">
                <wp:simplePos x="0" y="0"/>
                <wp:positionH relativeFrom="column">
                  <wp:posOffset>-108585</wp:posOffset>
                </wp:positionH>
                <wp:positionV relativeFrom="paragraph">
                  <wp:posOffset>-48260</wp:posOffset>
                </wp:positionV>
                <wp:extent cx="514350" cy="518795"/>
                <wp:effectExtent l="0" t="0" r="0"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CorelPh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2EF51" id="_x0000_t202" coordsize="21600,21600" o:spt="202" path="m,l,21600r21600,l21600,xe">
                <v:stroke joinstyle="miter"/>
                <v:path gradientshapeok="t" o:connecttype="rect"/>
              </v:shapetype>
              <v:shape id="Текстово поле 4" o:spid="_x0000_s1026" type="#_x0000_t202" style="position:absolute;left:0;text-align:left;margin-left:-8.55pt;margin-top:-3.8pt;width:40.5pt;height: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c3wEAAKADAAAOAAAAZHJzL2Uyb0RvYy54bWysU1Fv0zAQfkfiP1h+p2lKw7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" filled="f" stroked="f" strokecolor="white">
                <v:textbo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CorelPh</w:t>
                      </w:r>
                    </w:p>
                  </w:txbxContent>
                </v:textbox>
              </v:shape>
            </w:pict>
          </mc:Fallback>
        </mc:AlternateContent>
      </w:r>
      <w:r w:rsidRPr="000837AE">
        <w:rPr>
          <w:rFonts w:ascii="Times New Roman" w:eastAsia="Times New Roman" w:hAnsi="Times New Roman" w:cs="Times New Roman"/>
          <w:b/>
          <w:noProof/>
          <w:sz w:val="16"/>
          <w:szCs w:val="24"/>
          <w:u w:val="single"/>
          <w:lang w:eastAsia="bg-BG"/>
        </w:rPr>
        <w:t>М И Н И С Т Е Р С Т В О   Н А   О Т Б Р А Н А Т А   Н А   Р Е П У Б Л И К А   Б Ъ Л Г А Р И Я</w:t>
      </w:r>
      <w:r w:rsidRPr="000837AE">
        <w:rPr>
          <w:rFonts w:ascii="Times New Roman" w:eastAsia="Times New Roman" w:hAnsi="Times New Roman" w:cs="Times New Roman"/>
          <w:b/>
          <w:noProof/>
          <w:sz w:val="16"/>
          <w:szCs w:val="24"/>
          <w:lang w:eastAsia="bg-BG"/>
        </w:rPr>
        <w:t xml:space="preserve"> </w:t>
      </w:r>
    </w:p>
    <w:p w14:paraId="04D37269" w14:textId="737F1387" w:rsidR="008E4056"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837AE">
        <w:rPr>
          <w:rFonts w:ascii="Times New Roman" w:eastAsia="Times New Roman" w:hAnsi="Times New Roman" w:cs="Times New Roman"/>
          <w:b/>
          <w:noProof/>
          <w:sz w:val="16"/>
          <w:szCs w:val="24"/>
          <w:lang w:eastAsia="bg-BG"/>
        </w:rPr>
        <w:t xml:space="preserve"> </w:t>
      </w:r>
      <w:r w:rsidR="003632CB" w:rsidRPr="000837AE">
        <w:rPr>
          <w:rFonts w:ascii="Times New Roman" w:eastAsia="Times New Roman" w:hAnsi="Times New Roman" w:cs="Times New Roman"/>
          <w:b/>
          <w:noProof/>
          <w:sz w:val="16"/>
          <w:szCs w:val="24"/>
          <w:lang w:eastAsia="bg-BG"/>
        </w:rPr>
        <w:t>СПЕЦИАЛИЗИРАНА</w:t>
      </w:r>
      <w:r w:rsidRPr="000837AE">
        <w:rPr>
          <w:rFonts w:ascii="Times New Roman" w:eastAsia="Times New Roman" w:hAnsi="Times New Roman" w:cs="Times New Roman"/>
          <w:b/>
          <w:noProof/>
          <w:sz w:val="16"/>
          <w:szCs w:val="24"/>
          <w:lang w:eastAsia="bg-BG"/>
        </w:rPr>
        <w:t xml:space="preserve">  БОЛНИЦА  ЗА  РЕХАБИЛИТАЦИЯ  </w:t>
      </w:r>
    </w:p>
    <w:p w14:paraId="37015248" w14:textId="77777777" w:rsidR="008E4056"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color w:val="0066FF"/>
          <w:sz w:val="16"/>
          <w:szCs w:val="24"/>
          <w:lang w:eastAsia="bg-BG"/>
        </w:rPr>
      </w:pPr>
      <w:r w:rsidRPr="000837AE">
        <w:rPr>
          <w:rFonts w:ascii="Times New Roman" w:eastAsia="Times New Roman" w:hAnsi="Times New Roman" w:cs="Times New Roman"/>
          <w:b/>
          <w:noProof/>
          <w:color w:val="0066FF"/>
          <w:sz w:val="16"/>
          <w:szCs w:val="24"/>
          <w:lang w:eastAsia="bg-BG"/>
        </w:rPr>
        <w:t>“СВЕТА  БОГОРОДИЦА“ ЕООД – НАРЕЧЕНСКИ  БАНИ</w:t>
      </w:r>
    </w:p>
    <w:p w14:paraId="02AC56EA" w14:textId="48BE5AD0" w:rsidR="00925C4A" w:rsidRPr="000837AE"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Cambria" w:eastAsia="Times New Roman" w:hAnsi="Cambria" w:cs="Times New Roman"/>
          <w:sz w:val="32"/>
          <w:szCs w:val="32"/>
          <w:lang w:eastAsia="bg-BG"/>
        </w:rPr>
      </w:pPr>
      <w:r w:rsidRPr="000837AE">
        <w:rPr>
          <w:rFonts w:ascii="Times New Roman" w:eastAsia="Times New Roman" w:hAnsi="Times New Roman" w:cs="Times New Roman"/>
          <w:b/>
          <w:noProof/>
          <w:color w:val="0066FF"/>
          <w:sz w:val="16"/>
          <w:szCs w:val="24"/>
          <w:lang w:eastAsia="bg-BG"/>
        </w:rPr>
        <w:t xml:space="preserve">  </w:t>
      </w:r>
      <w:r w:rsidRPr="000837AE">
        <w:rPr>
          <w:rFonts w:ascii="Times New Roman" w:eastAsia="Times New Roman" w:hAnsi="Times New Roman" w:cs="Times New Roman"/>
          <w:b/>
          <w:noProof/>
          <w:sz w:val="14"/>
          <w:szCs w:val="24"/>
          <w:lang w:eastAsia="bg-BG"/>
        </w:rPr>
        <w:t>с. Нареченски бани ул.,  “Панорама” 8, тел. 03342/2212, GSM: 0888 105 105, Факс 03342/2243, email: svbogoroditsahospital@abv.bg</w:t>
      </w:r>
    </w:p>
    <w:p w14:paraId="288EF9B8" w14:textId="77777777" w:rsidR="00925C4A" w:rsidRPr="000837AE" w:rsidRDefault="00925C4A" w:rsidP="00925C4A">
      <w:pPr>
        <w:spacing w:after="0" w:line="240" w:lineRule="auto"/>
        <w:jc w:val="both"/>
        <w:rPr>
          <w:rFonts w:ascii="Times New Roman" w:eastAsia="Times New Roman" w:hAnsi="Times New Roman" w:cs="Times New Roman"/>
          <w:sz w:val="24"/>
          <w:szCs w:val="24"/>
          <w:u w:val="single"/>
        </w:rPr>
      </w:pPr>
    </w:p>
    <w:p w14:paraId="100ECFDB" w14:textId="77777777" w:rsidR="00925C4A" w:rsidRPr="000837AE" w:rsidRDefault="00925C4A" w:rsidP="00925C4A">
      <w:pPr>
        <w:spacing w:after="0" w:line="240" w:lineRule="auto"/>
        <w:jc w:val="both"/>
        <w:rPr>
          <w:rFonts w:ascii="Times New Roman" w:eastAsia="Times New Roman" w:hAnsi="Times New Roman" w:cs="Times New Roman"/>
          <w:sz w:val="24"/>
          <w:szCs w:val="24"/>
          <w:u w:val="single"/>
        </w:rPr>
      </w:pPr>
    </w:p>
    <w:p w14:paraId="4E0F343E"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385415DA"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0CD7122F"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31E13B37"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28A971EB" w14:textId="77777777" w:rsidR="00BD335A" w:rsidRPr="000837AE" w:rsidRDefault="00BD335A" w:rsidP="00925C4A">
      <w:pPr>
        <w:spacing w:after="0" w:line="240" w:lineRule="auto"/>
        <w:jc w:val="both"/>
        <w:rPr>
          <w:rFonts w:ascii="Times New Roman" w:eastAsia="Times New Roman" w:hAnsi="Times New Roman" w:cs="Times New Roman"/>
          <w:sz w:val="24"/>
          <w:szCs w:val="24"/>
          <w:u w:val="single"/>
        </w:rPr>
      </w:pPr>
    </w:p>
    <w:p w14:paraId="0783FC0C" w14:textId="77777777" w:rsidR="00BD335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МЕЖДИНЕН АНАЛИЗ НА ДЕЙНОСТТА, </w:t>
      </w:r>
    </w:p>
    <w:p w14:paraId="53DACE06" w14:textId="508038FE" w:rsidR="00E02E3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ВКЛЮЧВАЩ И АНАЛИЗ НА ИЗПЪЛНЕНИЕТО НА ФИНАНСОВИТЕ И НЕФИНАНСОВИТЕ ЦЕЛИ</w:t>
      </w:r>
    </w:p>
    <w:p w14:paraId="71BB8521" w14:textId="77777777" w:rsidR="00BD335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СЪГЛАСНО ЧЛ. 61, АЛ. 2, Т. 2 </w:t>
      </w:r>
    </w:p>
    <w:p w14:paraId="0AEFC0B1" w14:textId="41EF2645" w:rsidR="00E02E3A" w:rsidRPr="000837AE" w:rsidRDefault="00E02E3A"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ОТ ПРАВИЛНИК ЗА ПРИЛАГАНЕ НА ЗАКОНА ЗА ПУБЛИЧНИТЕ ПРЕДПРИЯТИЯ</w:t>
      </w:r>
    </w:p>
    <w:p w14:paraId="64A50A4B" w14:textId="77777777" w:rsidR="00BD335A" w:rsidRPr="000837AE" w:rsidRDefault="00BD335A" w:rsidP="00E02E3A">
      <w:pPr>
        <w:spacing w:after="0" w:line="360" w:lineRule="auto"/>
        <w:ind w:right="11"/>
        <w:jc w:val="center"/>
        <w:rPr>
          <w:rFonts w:ascii="Times New Roman" w:eastAsia="Times New Roman" w:hAnsi="Times New Roman" w:cs="Times New Roman"/>
          <w:b/>
          <w:bCs/>
          <w:sz w:val="28"/>
          <w:szCs w:val="28"/>
        </w:rPr>
      </w:pPr>
    </w:p>
    <w:p w14:paraId="38AEF899" w14:textId="621757C4" w:rsidR="00865EA8" w:rsidRPr="000837AE" w:rsidRDefault="00865EA8" w:rsidP="00E02E3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НА </w:t>
      </w:r>
      <w:r w:rsidR="003632CB" w:rsidRPr="000837AE">
        <w:rPr>
          <w:rFonts w:ascii="Times New Roman" w:eastAsia="Times New Roman" w:hAnsi="Times New Roman" w:cs="Times New Roman"/>
          <w:b/>
          <w:bCs/>
          <w:sz w:val="28"/>
          <w:szCs w:val="28"/>
        </w:rPr>
        <w:t>СПЕЦИАЛИЗИРАНА</w:t>
      </w:r>
      <w:r w:rsidRPr="000837AE">
        <w:rPr>
          <w:rFonts w:ascii="Times New Roman" w:eastAsia="Times New Roman" w:hAnsi="Times New Roman" w:cs="Times New Roman"/>
          <w:b/>
          <w:bCs/>
          <w:sz w:val="28"/>
          <w:szCs w:val="28"/>
        </w:rPr>
        <w:t xml:space="preserve"> БОЛНИЦА ЗА</w:t>
      </w:r>
    </w:p>
    <w:p w14:paraId="2B83C832" w14:textId="14747E91" w:rsidR="00925C4A" w:rsidRPr="000837AE" w:rsidRDefault="00925C4A" w:rsidP="00865EA8">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РЕХАБИЛИТАЦИЯ</w:t>
      </w:r>
    </w:p>
    <w:p w14:paraId="79A3EBFE" w14:textId="77777777" w:rsidR="00925C4A" w:rsidRPr="000837AE" w:rsidRDefault="00925C4A" w:rsidP="00925C4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“СВЕТА БОГОРОДИЦА” ЕООД</w:t>
      </w:r>
    </w:p>
    <w:p w14:paraId="2A88D14A" w14:textId="77777777" w:rsidR="00BD335A" w:rsidRPr="000837AE" w:rsidRDefault="00925C4A" w:rsidP="00925C4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с. Нареченски бани </w:t>
      </w:r>
    </w:p>
    <w:p w14:paraId="20A17A91" w14:textId="17F3197C" w:rsidR="00BD335A" w:rsidRPr="000837AE" w:rsidRDefault="00E02E3A" w:rsidP="00925C4A">
      <w:pPr>
        <w:spacing w:after="0" w:line="360" w:lineRule="auto"/>
        <w:ind w:right="11"/>
        <w:jc w:val="cente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t xml:space="preserve">към </w:t>
      </w:r>
      <w:r w:rsidR="00E1591E">
        <w:rPr>
          <w:rFonts w:ascii="Times New Roman" w:eastAsia="Times New Roman" w:hAnsi="Times New Roman" w:cs="Times New Roman"/>
          <w:b/>
          <w:bCs/>
          <w:sz w:val="28"/>
          <w:szCs w:val="28"/>
        </w:rPr>
        <w:t>30.09.2024</w:t>
      </w:r>
      <w:r w:rsidR="0086670E" w:rsidRPr="000837AE">
        <w:rPr>
          <w:rFonts w:ascii="Times New Roman" w:eastAsia="Times New Roman" w:hAnsi="Times New Roman" w:cs="Times New Roman"/>
          <w:b/>
          <w:bCs/>
          <w:sz w:val="28"/>
          <w:szCs w:val="28"/>
        </w:rPr>
        <w:t xml:space="preserve"> </w:t>
      </w:r>
      <w:r w:rsidR="00925C4A" w:rsidRPr="000837AE">
        <w:rPr>
          <w:rFonts w:ascii="Times New Roman" w:eastAsia="Times New Roman" w:hAnsi="Times New Roman" w:cs="Times New Roman"/>
          <w:b/>
          <w:bCs/>
          <w:sz w:val="28"/>
          <w:szCs w:val="28"/>
        </w:rPr>
        <w:t>год.</w:t>
      </w:r>
    </w:p>
    <w:p w14:paraId="61D5E127" w14:textId="77777777" w:rsidR="00BD335A" w:rsidRPr="000837AE" w:rsidRDefault="00BD335A">
      <w:pPr>
        <w:rPr>
          <w:rFonts w:ascii="Times New Roman" w:eastAsia="Times New Roman" w:hAnsi="Times New Roman" w:cs="Times New Roman"/>
          <w:b/>
          <w:bCs/>
          <w:sz w:val="28"/>
          <w:szCs w:val="28"/>
        </w:rPr>
      </w:pPr>
      <w:r w:rsidRPr="000837AE">
        <w:rPr>
          <w:rFonts w:ascii="Times New Roman" w:eastAsia="Times New Roman" w:hAnsi="Times New Roman" w:cs="Times New Roman"/>
          <w:b/>
          <w:bCs/>
          <w:sz w:val="28"/>
          <w:szCs w:val="28"/>
        </w:rPr>
        <w:br w:type="page"/>
      </w:r>
    </w:p>
    <w:p w14:paraId="4A253192" w14:textId="702D3A07" w:rsidR="00E02E3A" w:rsidRPr="000837AE"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lastRenderedPageBreak/>
        <w:t>ОБЩА ИНФОРМАЦИЯ ЗА ДРУЖЕСТВОТО</w:t>
      </w:r>
    </w:p>
    <w:p w14:paraId="0FEB7EBD" w14:textId="77777777" w:rsidR="00E02E3A" w:rsidRPr="000837AE" w:rsidRDefault="00E02E3A" w:rsidP="00E02E3A">
      <w:pPr>
        <w:keepNext/>
        <w:spacing w:after="0" w:line="240" w:lineRule="auto"/>
        <w:jc w:val="both"/>
        <w:outlineLvl w:val="0"/>
        <w:rPr>
          <w:rFonts w:ascii="Times New Roman" w:eastAsia="Times New Roman" w:hAnsi="Times New Roman" w:cs="Times New Roman"/>
          <w:b/>
          <w:bCs/>
          <w:sz w:val="24"/>
          <w:szCs w:val="24"/>
        </w:rPr>
      </w:pPr>
    </w:p>
    <w:p w14:paraId="5869E430"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1. РЕГИСТРАЦИЯ И АДМИНИСТРАТИВНО-ПРАВЕН СТАТУТ НА ДРУЖЕСТВОТО</w:t>
      </w:r>
    </w:p>
    <w:p w14:paraId="42DFE5F7" w14:textId="77777777" w:rsidR="00343875" w:rsidRPr="00343875" w:rsidRDefault="00343875" w:rsidP="00343875">
      <w:pPr>
        <w:spacing w:after="0" w:line="240" w:lineRule="auto"/>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ab/>
        <w:t>Специализирана болница за рехабилитация “Света Богородица” ЕООД (СБР “Света Богородица” ЕООД) е дружество, създадено през м. февруари 2001 г. Дружеството е със седалище и адрес на управление с. Нареченски бани, ул. Панорама № 8. Съдебната регистрация на дружеството е от 13.02.2001 г., решение № 1219 / 2001 г. на Пловдивски окръжен съд. Дружеството е пререгистрирано в ТРРЮЛНЦ на Р. България на 26.08.2008 г. с БУЛСТАТ 115610409.</w:t>
      </w:r>
    </w:p>
    <w:p w14:paraId="2285F9E4"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С решение на Министъра на отбраната, в качеството му на упражняващ правата на държавата, като едноличен собственик на капитала на Дружеството, бе променена фирмата на Дружеството. Съгласно протокол РД-36-2 от 10.01.2020 г. промяната е: от Многопрофилна болница за продължително лечение и рехабилитация “Света Богородица” ЕООД на Специализирана болница за рехабилитация “Света Богородица” ЕООД. Протоколът е публикуван и решението е вписано в ТРРЮЛНЦ на Р. България на 20.01.2020 г.</w:t>
      </w:r>
    </w:p>
    <w:p w14:paraId="3F432186" w14:textId="77777777" w:rsidR="00E02E3A" w:rsidRPr="000837AE" w:rsidRDefault="00E02E3A" w:rsidP="00AD25DD">
      <w:pPr>
        <w:spacing w:after="0" w:line="240" w:lineRule="auto"/>
        <w:jc w:val="both"/>
        <w:outlineLvl w:val="0"/>
        <w:rPr>
          <w:rFonts w:ascii="Times New Roman" w:eastAsia="Times New Roman" w:hAnsi="Times New Roman" w:cs="Times New Roman"/>
          <w:bCs/>
          <w:sz w:val="24"/>
          <w:szCs w:val="24"/>
        </w:rPr>
      </w:pPr>
    </w:p>
    <w:p w14:paraId="0D69D977"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2. КАПИТАЛ НА ДРУЖЕСТВОТО</w:t>
      </w:r>
    </w:p>
    <w:p w14:paraId="7D47608D" w14:textId="56D080E0" w:rsidR="000C00E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Дружеството е с капитал </w:t>
      </w:r>
      <w:r w:rsidR="00343875">
        <w:rPr>
          <w:rFonts w:ascii="Times New Roman" w:eastAsia="Times New Roman" w:hAnsi="Times New Roman" w:cs="Times New Roman"/>
          <w:bCs/>
          <w:sz w:val="24"/>
          <w:szCs w:val="24"/>
        </w:rPr>
        <w:t>1 4</w:t>
      </w:r>
      <w:r w:rsidRPr="000837AE">
        <w:rPr>
          <w:rFonts w:ascii="Times New Roman" w:eastAsia="Times New Roman" w:hAnsi="Times New Roman" w:cs="Times New Roman"/>
          <w:bCs/>
          <w:sz w:val="24"/>
          <w:szCs w:val="24"/>
        </w:rPr>
        <w:t>82</w:t>
      </w:r>
      <w:r w:rsidR="00E4610F"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 xml:space="preserve">700 лева, разпределен в </w:t>
      </w:r>
      <w:r w:rsidR="00343875">
        <w:rPr>
          <w:rFonts w:ascii="Times New Roman" w:eastAsia="Times New Roman" w:hAnsi="Times New Roman" w:cs="Times New Roman"/>
          <w:bCs/>
          <w:sz w:val="24"/>
          <w:szCs w:val="24"/>
        </w:rPr>
        <w:t>14</w:t>
      </w:r>
      <w:r w:rsidR="008E4056"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 xml:space="preserve">827 дяла с номинална стойност 100 лв. всеки. Регистрираният капитал е внесен изцяло. </w:t>
      </w:r>
      <w:r w:rsidR="000C00EA" w:rsidRPr="000837AE">
        <w:rPr>
          <w:rFonts w:ascii="Times New Roman" w:eastAsia="Times New Roman" w:hAnsi="Times New Roman" w:cs="Times New Roman"/>
          <w:bCs/>
          <w:sz w:val="24"/>
          <w:szCs w:val="24"/>
        </w:rPr>
        <w:t xml:space="preserve">Капиталът е формиран от парична и непарична вноска, както следва: </w:t>
      </w:r>
    </w:p>
    <w:p w14:paraId="332608DF" w14:textId="1C0759A6" w:rsidR="000C00EA" w:rsidRPr="000837AE" w:rsidRDefault="000C00EA" w:rsidP="00420430">
      <w:pPr>
        <w:tabs>
          <w:tab w:val="left" w:pos="1134"/>
        </w:tabs>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1. парична вноска - </w:t>
      </w:r>
      <w:r w:rsidR="00343875">
        <w:rPr>
          <w:rFonts w:ascii="Times New Roman" w:eastAsia="Times New Roman" w:hAnsi="Times New Roman" w:cs="Times New Roman"/>
          <w:bCs/>
          <w:sz w:val="24"/>
          <w:szCs w:val="24"/>
        </w:rPr>
        <w:t>8</w:t>
      </w:r>
      <w:r w:rsidRPr="000837AE">
        <w:rPr>
          <w:rFonts w:ascii="Times New Roman" w:eastAsia="Times New Roman" w:hAnsi="Times New Roman" w:cs="Times New Roman"/>
          <w:bCs/>
          <w:sz w:val="24"/>
          <w:szCs w:val="24"/>
        </w:rPr>
        <w:t xml:space="preserve">00 000 лева; </w:t>
      </w:r>
    </w:p>
    <w:p w14:paraId="4BF2229B" w14:textId="6413F02F" w:rsidR="000C00EA" w:rsidRPr="000837AE" w:rsidRDefault="000C00EA" w:rsidP="00420430">
      <w:pPr>
        <w:tabs>
          <w:tab w:val="left" w:pos="993"/>
        </w:tabs>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2. непарична вноска </w:t>
      </w:r>
      <w:r w:rsidR="00343875">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 xml:space="preserve"> 682</w:t>
      </w:r>
      <w:r w:rsidR="00343875">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700 лева, представляващи стойността на имуществото, стопанисвано от Министерство на отбраната - Болница за долекуване и продължително лечение. Оценката е изготвена от независим</w:t>
      </w:r>
      <w:r w:rsidR="001939FA" w:rsidRPr="000837AE">
        <w:rPr>
          <w:rFonts w:ascii="Times New Roman" w:eastAsia="Times New Roman" w:hAnsi="Times New Roman" w:cs="Times New Roman"/>
          <w:bCs/>
          <w:sz w:val="24"/>
          <w:szCs w:val="24"/>
        </w:rPr>
        <w:t>и</w:t>
      </w:r>
      <w:r w:rsidRPr="000837AE">
        <w:rPr>
          <w:rFonts w:ascii="Times New Roman" w:eastAsia="Times New Roman" w:hAnsi="Times New Roman" w:cs="Times New Roman"/>
          <w:bCs/>
          <w:sz w:val="24"/>
          <w:szCs w:val="24"/>
        </w:rPr>
        <w:t xml:space="preserve"> лицензирани оценители с лицензи №№ 718/17.05.1993 г., 719/17.05.1993</w:t>
      </w:r>
      <w:r w:rsidR="00E12539">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г., 1108/28.06.1993 г. на 08.12.2000 г.</w:t>
      </w:r>
    </w:p>
    <w:p w14:paraId="569ED59B" w14:textId="2E36E012" w:rsidR="000C00EA" w:rsidRPr="000837AE" w:rsidRDefault="000C00E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Увеличението на капитала от </w:t>
      </w:r>
      <w:r w:rsidR="00343875">
        <w:rPr>
          <w:rFonts w:ascii="Times New Roman" w:eastAsia="Times New Roman" w:hAnsi="Times New Roman" w:cs="Times New Roman"/>
          <w:bCs/>
          <w:sz w:val="24"/>
          <w:szCs w:val="24"/>
        </w:rPr>
        <w:t>9</w:t>
      </w:r>
      <w:r w:rsidRPr="000837AE">
        <w:rPr>
          <w:rFonts w:ascii="Times New Roman" w:eastAsia="Times New Roman" w:hAnsi="Times New Roman" w:cs="Times New Roman"/>
          <w:bCs/>
          <w:sz w:val="24"/>
          <w:szCs w:val="24"/>
        </w:rPr>
        <w:t xml:space="preserve">82 700 лева на </w:t>
      </w:r>
      <w:r w:rsidR="00343875">
        <w:rPr>
          <w:rFonts w:ascii="Times New Roman" w:eastAsia="Times New Roman" w:hAnsi="Times New Roman" w:cs="Times New Roman"/>
          <w:bCs/>
          <w:sz w:val="24"/>
          <w:szCs w:val="24"/>
        </w:rPr>
        <w:t>1 4</w:t>
      </w:r>
      <w:r w:rsidRPr="000837AE">
        <w:rPr>
          <w:rFonts w:ascii="Times New Roman" w:eastAsia="Times New Roman" w:hAnsi="Times New Roman" w:cs="Times New Roman"/>
          <w:bCs/>
          <w:sz w:val="24"/>
          <w:szCs w:val="24"/>
        </w:rPr>
        <w:t>82 700 лева е вписано в ТР на 1</w:t>
      </w:r>
      <w:r w:rsidR="00343875">
        <w:rPr>
          <w:rFonts w:ascii="Times New Roman" w:eastAsia="Times New Roman" w:hAnsi="Times New Roman" w:cs="Times New Roman"/>
          <w:bCs/>
          <w:sz w:val="24"/>
          <w:szCs w:val="24"/>
        </w:rPr>
        <w:t>6</w:t>
      </w:r>
      <w:r w:rsidRPr="000837AE">
        <w:rPr>
          <w:rFonts w:ascii="Times New Roman" w:eastAsia="Times New Roman" w:hAnsi="Times New Roman" w:cs="Times New Roman"/>
          <w:bCs/>
          <w:sz w:val="24"/>
          <w:szCs w:val="24"/>
        </w:rPr>
        <w:t>.01.202</w:t>
      </w:r>
      <w:r w:rsidR="00343875">
        <w:rPr>
          <w:rFonts w:ascii="Times New Roman" w:eastAsia="Times New Roman" w:hAnsi="Times New Roman" w:cs="Times New Roman"/>
          <w:bCs/>
          <w:sz w:val="24"/>
          <w:szCs w:val="24"/>
        </w:rPr>
        <w:t>4</w:t>
      </w:r>
      <w:r w:rsidRPr="000837AE">
        <w:rPr>
          <w:rFonts w:ascii="Times New Roman" w:eastAsia="Times New Roman" w:hAnsi="Times New Roman" w:cs="Times New Roman"/>
          <w:bCs/>
          <w:sz w:val="24"/>
          <w:szCs w:val="24"/>
        </w:rPr>
        <w:t> г.</w:t>
      </w:r>
    </w:p>
    <w:p w14:paraId="479DB2DD" w14:textId="77777777" w:rsidR="00691B50" w:rsidRDefault="00691B50" w:rsidP="000C00EA">
      <w:pPr>
        <w:spacing w:after="0" w:line="240" w:lineRule="auto"/>
        <w:ind w:firstLine="708"/>
        <w:jc w:val="both"/>
        <w:outlineLvl w:val="0"/>
        <w:rPr>
          <w:rFonts w:ascii="Times New Roman" w:eastAsia="Times New Roman" w:hAnsi="Times New Roman" w:cs="Times New Roman"/>
          <w:bCs/>
          <w:sz w:val="24"/>
          <w:szCs w:val="24"/>
        </w:rPr>
      </w:pPr>
    </w:p>
    <w:p w14:paraId="6DDF150C" w14:textId="06961B30" w:rsidR="000C00EA" w:rsidRPr="000837AE" w:rsidRDefault="000C00EA" w:rsidP="000C00EA">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Едноличен собственик на капитала е държавата, в лицето на Министерство на отбраната, ЕИК 000695324.</w:t>
      </w:r>
    </w:p>
    <w:p w14:paraId="26CE6253" w14:textId="77777777" w:rsidR="000C00EA" w:rsidRPr="000837AE" w:rsidRDefault="000C00EA" w:rsidP="00AD25DD">
      <w:pPr>
        <w:spacing w:after="0" w:line="240" w:lineRule="auto"/>
        <w:ind w:firstLine="708"/>
        <w:jc w:val="both"/>
        <w:outlineLvl w:val="0"/>
        <w:rPr>
          <w:rFonts w:ascii="Times New Roman" w:eastAsia="Times New Roman" w:hAnsi="Times New Roman" w:cs="Times New Roman"/>
          <w:bCs/>
          <w:sz w:val="24"/>
          <w:szCs w:val="24"/>
        </w:rPr>
      </w:pPr>
    </w:p>
    <w:p w14:paraId="19063C55"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3. ПРЕДМЕТ НА ДЕЙНОСТ</w:t>
      </w:r>
    </w:p>
    <w:p w14:paraId="1F45595B" w14:textId="33D85EC7" w:rsidR="00E02E3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Предметът на дейност на </w:t>
      </w:r>
      <w:r w:rsidR="000B42FF" w:rsidRPr="000837AE">
        <w:rPr>
          <w:rFonts w:ascii="Times New Roman" w:eastAsia="Times New Roman" w:hAnsi="Times New Roman" w:cs="Times New Roman"/>
          <w:bCs/>
          <w:sz w:val="24"/>
          <w:szCs w:val="24"/>
        </w:rPr>
        <w:t xml:space="preserve">СБР “Света Богородица” ЕООД </w:t>
      </w:r>
      <w:r w:rsidRPr="000837AE">
        <w:rPr>
          <w:rFonts w:ascii="Times New Roman" w:eastAsia="Times New Roman" w:hAnsi="Times New Roman" w:cs="Times New Roman"/>
          <w:bCs/>
          <w:sz w:val="24"/>
          <w:szCs w:val="24"/>
        </w:rPr>
        <w:t xml:space="preserve">е: рехабилитация, лечение и профилактика на заболявания на стреса, неврологични заболявания, сърдечно-съдови заболявания и диабет.  </w:t>
      </w:r>
    </w:p>
    <w:p w14:paraId="4281AEAE" w14:textId="169E1504" w:rsidR="00E02E3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Дейностите и услугите, които извършва Дружеството включват:  </w:t>
      </w:r>
    </w:p>
    <w:p w14:paraId="04173303" w14:textId="7F9EEADE" w:rsidR="00E02E3A" w:rsidRPr="000837A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ab/>
        <w:t xml:space="preserve">медицински услуги: </w:t>
      </w:r>
      <w:r w:rsidR="008E4056" w:rsidRPr="000837AE">
        <w:rPr>
          <w:rFonts w:ascii="Times New Roman" w:eastAsia="Times New Roman" w:hAnsi="Times New Roman" w:cs="Times New Roman"/>
          <w:bCs/>
          <w:sz w:val="24"/>
          <w:szCs w:val="24"/>
        </w:rPr>
        <w:t>к</w:t>
      </w:r>
      <w:r w:rsidRPr="000837AE">
        <w:rPr>
          <w:rFonts w:ascii="Times New Roman" w:eastAsia="Times New Roman" w:hAnsi="Times New Roman" w:cs="Times New Roman"/>
          <w:bCs/>
          <w:sz w:val="24"/>
          <w:szCs w:val="24"/>
        </w:rPr>
        <w:t xml:space="preserve">инезитерапевтични процедури, ЛФК, лечебен масаж; </w:t>
      </w:r>
      <w:r w:rsidR="008E4056" w:rsidRPr="000837AE">
        <w:rPr>
          <w:rFonts w:ascii="Times New Roman" w:eastAsia="Times New Roman" w:hAnsi="Times New Roman" w:cs="Times New Roman"/>
          <w:bCs/>
          <w:sz w:val="24"/>
          <w:szCs w:val="24"/>
        </w:rPr>
        <w:t>а</w:t>
      </w:r>
      <w:r w:rsidRPr="000837AE">
        <w:rPr>
          <w:rFonts w:ascii="Times New Roman" w:eastAsia="Times New Roman" w:hAnsi="Times New Roman" w:cs="Times New Roman"/>
          <w:bCs/>
          <w:sz w:val="24"/>
          <w:szCs w:val="24"/>
        </w:rPr>
        <w:t xml:space="preserve">паратна физиотерапия; </w:t>
      </w:r>
      <w:r w:rsidR="008E4056" w:rsidRPr="000837AE">
        <w:rPr>
          <w:rFonts w:ascii="Times New Roman" w:eastAsia="Times New Roman" w:hAnsi="Times New Roman" w:cs="Times New Roman"/>
          <w:bCs/>
          <w:sz w:val="24"/>
          <w:szCs w:val="24"/>
        </w:rPr>
        <w:t>м</w:t>
      </w:r>
      <w:r w:rsidRPr="000837AE">
        <w:rPr>
          <w:rFonts w:ascii="Times New Roman" w:eastAsia="Times New Roman" w:hAnsi="Times New Roman" w:cs="Times New Roman"/>
          <w:bCs/>
          <w:sz w:val="24"/>
          <w:szCs w:val="24"/>
        </w:rPr>
        <w:t xml:space="preserve">еханотерапия, криотерапия, иглотерапия; </w:t>
      </w:r>
      <w:r w:rsidR="008E4056" w:rsidRPr="000837AE">
        <w:rPr>
          <w:rFonts w:ascii="Times New Roman" w:eastAsia="Times New Roman" w:hAnsi="Times New Roman" w:cs="Times New Roman"/>
          <w:bCs/>
          <w:sz w:val="24"/>
          <w:szCs w:val="24"/>
        </w:rPr>
        <w:t>б</w:t>
      </w:r>
      <w:r w:rsidRPr="000837AE">
        <w:rPr>
          <w:rFonts w:ascii="Times New Roman" w:eastAsia="Times New Roman" w:hAnsi="Times New Roman" w:cs="Times New Roman"/>
          <w:bCs/>
          <w:sz w:val="24"/>
          <w:szCs w:val="24"/>
        </w:rPr>
        <w:t xml:space="preserve">алнеолечение и водолечение; </w:t>
      </w:r>
      <w:r w:rsidR="008E4056" w:rsidRPr="000837AE">
        <w:rPr>
          <w:rFonts w:ascii="Times New Roman" w:eastAsia="Times New Roman" w:hAnsi="Times New Roman" w:cs="Times New Roman"/>
          <w:bCs/>
          <w:sz w:val="24"/>
          <w:szCs w:val="24"/>
        </w:rPr>
        <w:t>п</w:t>
      </w:r>
      <w:r w:rsidRPr="000837AE">
        <w:rPr>
          <w:rFonts w:ascii="Times New Roman" w:eastAsia="Times New Roman" w:hAnsi="Times New Roman" w:cs="Times New Roman"/>
          <w:bCs/>
          <w:sz w:val="24"/>
          <w:szCs w:val="24"/>
        </w:rPr>
        <w:t xml:space="preserve">арафинолечение; </w:t>
      </w:r>
      <w:r w:rsidR="008E4056" w:rsidRPr="000837AE">
        <w:rPr>
          <w:rFonts w:ascii="Times New Roman" w:eastAsia="Times New Roman" w:hAnsi="Times New Roman" w:cs="Times New Roman"/>
          <w:bCs/>
          <w:sz w:val="24"/>
          <w:szCs w:val="24"/>
        </w:rPr>
        <w:t>п</w:t>
      </w:r>
      <w:r w:rsidRPr="000837AE">
        <w:rPr>
          <w:rFonts w:ascii="Times New Roman" w:eastAsia="Times New Roman" w:hAnsi="Times New Roman" w:cs="Times New Roman"/>
          <w:bCs/>
          <w:sz w:val="24"/>
          <w:szCs w:val="24"/>
        </w:rPr>
        <w:t xml:space="preserve">сихотерапия; </w:t>
      </w:r>
      <w:r w:rsidR="008E4056" w:rsidRPr="000837AE">
        <w:rPr>
          <w:rFonts w:ascii="Times New Roman" w:eastAsia="Times New Roman" w:hAnsi="Times New Roman" w:cs="Times New Roman"/>
          <w:bCs/>
          <w:sz w:val="24"/>
          <w:szCs w:val="24"/>
        </w:rPr>
        <w:t>к</w:t>
      </w:r>
      <w:r w:rsidRPr="000837AE">
        <w:rPr>
          <w:rFonts w:ascii="Times New Roman" w:eastAsia="Times New Roman" w:hAnsi="Times New Roman" w:cs="Times New Roman"/>
          <w:bCs/>
          <w:sz w:val="24"/>
          <w:szCs w:val="24"/>
        </w:rPr>
        <w:t>линична лаборатория, диагностични и функционални кабинети;</w:t>
      </w:r>
    </w:p>
    <w:p w14:paraId="090CBFDA" w14:textId="36A4DA42" w:rsidR="00E02E3A" w:rsidRPr="000837A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ab/>
        <w:t>покупка на хранителни продукти, преработка в ястия и продажба,</w:t>
      </w:r>
    </w:p>
    <w:p w14:paraId="4928C5CB" w14:textId="61A2AE8E" w:rsidR="00E02E3A" w:rsidRPr="000837AE"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ab/>
        <w:t>продажба на леглова база в стационарен блок</w:t>
      </w:r>
      <w:r w:rsidR="00AD25DD" w:rsidRPr="000837AE">
        <w:rPr>
          <w:rFonts w:ascii="Times New Roman" w:eastAsia="Times New Roman" w:hAnsi="Times New Roman" w:cs="Times New Roman"/>
          <w:bCs/>
          <w:sz w:val="24"/>
          <w:szCs w:val="24"/>
        </w:rPr>
        <w:t>.</w:t>
      </w:r>
    </w:p>
    <w:p w14:paraId="3C38CE0B" w14:textId="77777777" w:rsidR="00E02E3A" w:rsidRPr="000837AE"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6A4558E8" w14:textId="77777777" w:rsidR="00E02E3A" w:rsidRPr="000837AE"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4. УПРАВЛЕНИЕ И РЪКОВОДСТВО </w:t>
      </w:r>
    </w:p>
    <w:p w14:paraId="6DE7D9ED" w14:textId="6FFDD96E" w:rsidR="00925C4A" w:rsidRPr="000837AE"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Към датата на изготвяне на този доклад </w:t>
      </w:r>
      <w:r w:rsidR="000B42FF" w:rsidRPr="000837AE">
        <w:rPr>
          <w:rFonts w:ascii="Times New Roman" w:eastAsia="Times New Roman" w:hAnsi="Times New Roman" w:cs="Times New Roman"/>
          <w:bCs/>
          <w:sz w:val="24"/>
          <w:szCs w:val="24"/>
        </w:rPr>
        <w:t xml:space="preserve">СБР “Света Богородица” ЕООД </w:t>
      </w:r>
      <w:r w:rsidRPr="000837AE">
        <w:rPr>
          <w:rFonts w:ascii="Times New Roman" w:eastAsia="Times New Roman" w:hAnsi="Times New Roman" w:cs="Times New Roman"/>
          <w:bCs/>
          <w:sz w:val="24"/>
          <w:szCs w:val="24"/>
        </w:rPr>
        <w:t>се управлява от управител</w:t>
      </w:r>
      <w:r w:rsidR="000B42FF"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 д-р Атанас Благоев Тилев.</w:t>
      </w:r>
    </w:p>
    <w:p w14:paraId="6331F118" w14:textId="46FF243C" w:rsidR="00BA277C" w:rsidRDefault="00BA277C">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14:paraId="0DFB0601" w14:textId="647A7690" w:rsidR="00E02E3A" w:rsidRPr="000837AE"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lastRenderedPageBreak/>
        <w:t xml:space="preserve">ПРЕГЛЕД НА ДЕЙНОСТТА И НА СЪСТОЯНИЕТО НА </w:t>
      </w:r>
      <w:r w:rsidR="00FE3B46" w:rsidRPr="000837AE">
        <w:rPr>
          <w:rFonts w:ascii="Times New Roman" w:eastAsia="Times New Roman" w:hAnsi="Times New Roman" w:cs="Times New Roman"/>
          <w:b/>
          <w:bCs/>
          <w:sz w:val="24"/>
          <w:szCs w:val="24"/>
        </w:rPr>
        <w:t xml:space="preserve">СБР “СВЕТА БОГОРОДИЦА” ЕООД </w:t>
      </w:r>
    </w:p>
    <w:p w14:paraId="1B2AEAA5" w14:textId="77777777" w:rsidR="00AF032F" w:rsidRPr="000837AE" w:rsidRDefault="00AF032F" w:rsidP="00AF032F">
      <w:pPr>
        <w:keepNext/>
        <w:spacing w:after="0" w:line="240" w:lineRule="auto"/>
        <w:ind w:firstLine="709"/>
        <w:jc w:val="both"/>
        <w:outlineLvl w:val="0"/>
        <w:rPr>
          <w:rFonts w:ascii="Times New Roman" w:eastAsia="Times New Roman" w:hAnsi="Times New Roman" w:cs="Times New Roman"/>
          <w:bCs/>
          <w:sz w:val="24"/>
          <w:szCs w:val="24"/>
        </w:rPr>
      </w:pPr>
    </w:p>
    <w:p w14:paraId="74DF39B9" w14:textId="384DF7B6" w:rsidR="00E02E3A" w:rsidRDefault="00E02E3A" w:rsidP="00BA277C">
      <w:pPr>
        <w:pStyle w:val="a5"/>
        <w:keepNext/>
        <w:numPr>
          <w:ilvl w:val="0"/>
          <w:numId w:val="22"/>
        </w:numPr>
        <w:spacing w:before="120" w:after="12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СТРУКТУРА И НАПРАВЛЕНИЯ НА ДЕЙНОСТТА </w:t>
      </w:r>
    </w:p>
    <w:p w14:paraId="5762E078"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Структурата, организацията, правата и отговорностите на отделните звена са отразени подробно в Правилник за вътрешния ред. Структурата произтича от предмета и характера на дейността на лечебното заведение.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w:t>
      </w:r>
    </w:p>
    <w:p w14:paraId="074A43A3"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p>
    <w:p w14:paraId="47116C87" w14:textId="2C6CEC55" w:rsid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 xml:space="preserve">Специализирана болница за рехабилитация “Света Богородица” ЕООД осъществява лечение и рехабилитация на редица социално значими заболявания като постравматичното стресово разстройство, паническото разстройство, обсесивно-компулсивното разстройство, тревожно депресивното разстройство, захарният диабет и усложненията му, хипертоничната болест </w:t>
      </w:r>
      <w:r w:rsidR="00691B50" w:rsidRPr="00691B50">
        <w:rPr>
          <w:rFonts w:ascii="Times New Roman" w:eastAsia="Times New Roman" w:hAnsi="Times New Roman" w:cs="Times New Roman"/>
          <w:bCs/>
          <w:sz w:val="24"/>
          <w:szCs w:val="24"/>
        </w:rPr>
        <w:t xml:space="preserve">и усложненията </w:t>
      </w:r>
      <w:r w:rsidR="00691B50">
        <w:rPr>
          <w:rFonts w:ascii="Times New Roman" w:eastAsia="Times New Roman" w:hAnsi="Times New Roman" w:cs="Times New Roman"/>
          <w:bCs/>
          <w:sz w:val="24"/>
          <w:szCs w:val="24"/>
        </w:rPr>
        <w:t>й</w:t>
      </w:r>
      <w:r w:rsidR="00691B50" w:rsidRPr="00691B50">
        <w:rPr>
          <w:rFonts w:ascii="Times New Roman" w:eastAsia="Times New Roman" w:hAnsi="Times New Roman" w:cs="Times New Roman"/>
          <w:bCs/>
          <w:sz w:val="24"/>
          <w:szCs w:val="24"/>
        </w:rPr>
        <w:t>, които много често водят до временна или постоянна нетрудоспособност и трайна инвалидизация на индивида</w:t>
      </w:r>
      <w:r w:rsidRPr="00343875">
        <w:rPr>
          <w:rFonts w:ascii="Times New Roman" w:eastAsia="Times New Roman" w:hAnsi="Times New Roman" w:cs="Times New Roman"/>
          <w:bCs/>
          <w:sz w:val="24"/>
          <w:szCs w:val="24"/>
        </w:rPr>
        <w:t>.</w:t>
      </w:r>
    </w:p>
    <w:p w14:paraId="201187AA" w14:textId="77777777" w:rsidR="00691B50" w:rsidRPr="00343875" w:rsidRDefault="00691B50" w:rsidP="00343875">
      <w:pPr>
        <w:spacing w:after="0" w:line="240" w:lineRule="auto"/>
        <w:ind w:firstLine="708"/>
        <w:jc w:val="both"/>
        <w:outlineLvl w:val="0"/>
        <w:rPr>
          <w:rFonts w:ascii="Times New Roman" w:eastAsia="Times New Roman" w:hAnsi="Times New Roman" w:cs="Times New Roman"/>
          <w:bCs/>
          <w:sz w:val="24"/>
          <w:szCs w:val="24"/>
        </w:rPr>
      </w:pPr>
    </w:p>
    <w:p w14:paraId="027D463F" w14:textId="77777777" w:rsid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Основна задача на персонала на болницата, при организиране лечението и рехабилитацията на пациентите, е безпроблемното пребиваване при висока степен на комфорт, професионализъм и създаване на максимална възможност за лечение и възстановяване.</w:t>
      </w:r>
    </w:p>
    <w:p w14:paraId="1F04E47F" w14:textId="77777777" w:rsidR="008838B5" w:rsidRPr="00343875" w:rsidRDefault="008838B5" w:rsidP="00343875">
      <w:pPr>
        <w:spacing w:after="0" w:line="240" w:lineRule="auto"/>
        <w:ind w:firstLine="708"/>
        <w:jc w:val="both"/>
        <w:outlineLvl w:val="0"/>
        <w:rPr>
          <w:rFonts w:ascii="Times New Roman" w:eastAsia="Times New Roman" w:hAnsi="Times New Roman" w:cs="Times New Roman"/>
          <w:bCs/>
          <w:sz w:val="24"/>
          <w:szCs w:val="24"/>
        </w:rPr>
      </w:pPr>
    </w:p>
    <w:p w14:paraId="1AFC9224" w14:textId="080B545A" w:rsid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 xml:space="preserve">През </w:t>
      </w:r>
      <w:r w:rsidR="00691B50" w:rsidRPr="00691B50">
        <w:rPr>
          <w:rFonts w:ascii="Times New Roman" w:eastAsia="Times New Roman" w:hAnsi="Times New Roman" w:cs="Times New Roman"/>
          <w:bCs/>
          <w:sz w:val="24"/>
          <w:szCs w:val="24"/>
        </w:rPr>
        <w:t xml:space="preserve">изтеклия отчетен </w:t>
      </w:r>
      <w:r w:rsidRPr="00343875">
        <w:rPr>
          <w:rFonts w:ascii="Times New Roman" w:eastAsia="Times New Roman" w:hAnsi="Times New Roman" w:cs="Times New Roman"/>
          <w:bCs/>
          <w:sz w:val="24"/>
          <w:szCs w:val="24"/>
        </w:rPr>
        <w:t>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 заболявания, подобряване условията и бита на пациентите и облекчаване на основните и свързани с тях заболявания.</w:t>
      </w:r>
    </w:p>
    <w:p w14:paraId="667F2BD8"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p>
    <w:p w14:paraId="37C1FA3A" w14:textId="53F7D40D" w:rsidR="00343875" w:rsidRPr="00343875" w:rsidRDefault="00BF3EF5" w:rsidP="00BF3EF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 xml:space="preserve">През отчетния период СБР “Света Богородица” ЕООД работи съгласно сключен </w:t>
      </w:r>
      <w:r w:rsidRPr="00A4610E">
        <w:rPr>
          <w:rFonts w:ascii="Times New Roman" w:eastAsia="Times New Roman" w:hAnsi="Times New Roman" w:cs="Times New Roman"/>
          <w:bCs/>
          <w:sz w:val="24"/>
          <w:szCs w:val="24"/>
        </w:rPr>
        <w:t>Договор № 162280 от 16.10.2023 г</w:t>
      </w:r>
      <w:r w:rsidRPr="00343875">
        <w:rPr>
          <w:rFonts w:ascii="Times New Roman" w:eastAsia="Times New Roman" w:hAnsi="Times New Roman" w:cs="Times New Roman"/>
          <w:bCs/>
          <w:sz w:val="24"/>
          <w:szCs w:val="24"/>
        </w:rPr>
        <w:t xml:space="preserve">. за оказване на болнична с РЗОК – гр. Пловдив по НРД 2023 – 2025 г. </w:t>
      </w:r>
      <w:r w:rsidR="00343875" w:rsidRPr="00343875">
        <w:rPr>
          <w:rFonts w:ascii="Times New Roman" w:eastAsia="Times New Roman" w:hAnsi="Times New Roman" w:cs="Times New Roman"/>
          <w:bCs/>
          <w:sz w:val="24"/>
          <w:szCs w:val="24"/>
        </w:rPr>
        <w:t>по следните клинични пътеки</w:t>
      </w:r>
      <w:r>
        <w:rPr>
          <w:rFonts w:ascii="Times New Roman" w:eastAsia="Times New Roman" w:hAnsi="Times New Roman" w:cs="Times New Roman"/>
          <w:bCs/>
          <w:sz w:val="24"/>
          <w:szCs w:val="24"/>
        </w:rPr>
        <w:t xml:space="preserve"> </w:t>
      </w:r>
      <w:r w:rsidRPr="00343875">
        <w:rPr>
          <w:rFonts w:ascii="Times New Roman" w:eastAsia="Times New Roman" w:hAnsi="Times New Roman" w:cs="Times New Roman"/>
          <w:bCs/>
          <w:sz w:val="24"/>
          <w:szCs w:val="24"/>
        </w:rPr>
        <w:t>(КП)</w:t>
      </w:r>
      <w:r w:rsidR="00343875" w:rsidRPr="00343875">
        <w:rPr>
          <w:rFonts w:ascii="Times New Roman" w:eastAsia="Times New Roman" w:hAnsi="Times New Roman" w:cs="Times New Roman"/>
          <w:bCs/>
          <w:sz w:val="24"/>
          <w:szCs w:val="24"/>
        </w:rPr>
        <w:t>:</w:t>
      </w:r>
    </w:p>
    <w:p w14:paraId="27A9471B" w14:textId="25940C7D" w:rsidR="00343875" w:rsidRPr="00343875" w:rsidRDefault="00343875" w:rsidP="008838B5">
      <w:pPr>
        <w:tabs>
          <w:tab w:val="left" w:pos="993"/>
        </w:tabs>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r>
      <w:r w:rsidR="00BF3EF5" w:rsidRPr="00BF3EF5">
        <w:rPr>
          <w:rFonts w:ascii="Times New Roman" w:eastAsia="Times New Roman" w:hAnsi="Times New Roman" w:cs="Times New Roman"/>
          <w:bCs/>
          <w:sz w:val="24"/>
          <w:szCs w:val="24"/>
        </w:rPr>
        <w:t xml:space="preserve">КП </w:t>
      </w:r>
      <w:r w:rsidRPr="00343875">
        <w:rPr>
          <w:rFonts w:ascii="Times New Roman" w:eastAsia="Times New Roman" w:hAnsi="Times New Roman" w:cs="Times New Roman"/>
          <w:bCs/>
          <w:sz w:val="24"/>
          <w:szCs w:val="24"/>
        </w:rPr>
        <w:t>№ 261 – Физикална терапия и рехабилитация при първични мускулни увреждания и спинална мускулна атрофия</w:t>
      </w:r>
      <w:r w:rsidR="008838B5">
        <w:rPr>
          <w:rFonts w:ascii="Times New Roman" w:eastAsia="Times New Roman" w:hAnsi="Times New Roman" w:cs="Times New Roman"/>
          <w:bCs/>
          <w:sz w:val="24"/>
          <w:szCs w:val="24"/>
        </w:rPr>
        <w:t>;</w:t>
      </w:r>
    </w:p>
    <w:p w14:paraId="2419ADF4" w14:textId="3BAFD334" w:rsidR="00343875" w:rsidRPr="00343875" w:rsidRDefault="00343875" w:rsidP="008838B5">
      <w:pPr>
        <w:tabs>
          <w:tab w:val="left" w:pos="993"/>
        </w:tabs>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t>КП № 262 – Лечение и рехабилитация на болести на централна нервна система</w:t>
      </w:r>
      <w:r w:rsidR="008838B5">
        <w:rPr>
          <w:rFonts w:ascii="Times New Roman" w:eastAsia="Times New Roman" w:hAnsi="Times New Roman" w:cs="Times New Roman"/>
          <w:bCs/>
          <w:sz w:val="24"/>
          <w:szCs w:val="24"/>
        </w:rPr>
        <w:t>;</w:t>
      </w:r>
    </w:p>
    <w:p w14:paraId="083326A3" w14:textId="0B17A8FC" w:rsidR="00343875" w:rsidRPr="00343875" w:rsidRDefault="00343875" w:rsidP="008838B5">
      <w:pPr>
        <w:tabs>
          <w:tab w:val="left" w:pos="993"/>
        </w:tabs>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t>КП № 263 – Лечение и рехабилитация при болести на периферна нервна система</w:t>
      </w:r>
      <w:r w:rsidR="008838B5">
        <w:rPr>
          <w:rFonts w:ascii="Times New Roman" w:eastAsia="Times New Roman" w:hAnsi="Times New Roman" w:cs="Times New Roman"/>
          <w:bCs/>
          <w:sz w:val="24"/>
          <w:szCs w:val="24"/>
        </w:rPr>
        <w:t xml:space="preserve"> и</w:t>
      </w:r>
    </w:p>
    <w:p w14:paraId="2D5DE926" w14:textId="77777777" w:rsidR="00343875" w:rsidRPr="00343875" w:rsidRDefault="00343875" w:rsidP="008838B5">
      <w:pPr>
        <w:tabs>
          <w:tab w:val="left" w:pos="993"/>
        </w:tabs>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w:t>
      </w:r>
      <w:r w:rsidRPr="00343875">
        <w:rPr>
          <w:rFonts w:ascii="Times New Roman" w:eastAsia="Times New Roman" w:hAnsi="Times New Roman" w:cs="Times New Roman"/>
          <w:bCs/>
          <w:sz w:val="24"/>
          <w:szCs w:val="24"/>
        </w:rPr>
        <w:tab/>
        <w:t>КП № 265 – Лечение и рехабилитация при болестите на опорно-двигателния апарат.</w:t>
      </w:r>
    </w:p>
    <w:p w14:paraId="06C6178C" w14:textId="77777777"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p>
    <w:p w14:paraId="2F50FE0E" w14:textId="60FB88D1" w:rsidR="00343875" w:rsidRP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Освен по клинични пътеки в болницата се лекуват с преференции лица, имащи права по Закона за отбраната и въоръжените сили, лица със социално значими заболявания и лица на свободен прием.</w:t>
      </w:r>
    </w:p>
    <w:p w14:paraId="1884A84A" w14:textId="6324A876" w:rsidR="00343875" w:rsidRDefault="00343875" w:rsidP="00343875">
      <w:pPr>
        <w:spacing w:after="0" w:line="240" w:lineRule="auto"/>
        <w:ind w:firstLine="708"/>
        <w:jc w:val="both"/>
        <w:outlineLvl w:val="0"/>
        <w:rPr>
          <w:rFonts w:ascii="Times New Roman" w:eastAsia="Times New Roman" w:hAnsi="Times New Roman" w:cs="Times New Roman"/>
          <w:bCs/>
          <w:sz w:val="24"/>
          <w:szCs w:val="24"/>
        </w:rPr>
      </w:pPr>
      <w:r w:rsidRPr="00343875">
        <w:rPr>
          <w:rFonts w:ascii="Times New Roman" w:eastAsia="Times New Roman" w:hAnsi="Times New Roman" w:cs="Times New Roman"/>
          <w:bCs/>
          <w:sz w:val="24"/>
          <w:szCs w:val="24"/>
        </w:rPr>
        <w:t>Пред ръководството и служителите на болницата стои задача за качествено изпълнение на национални здравно-промотивни, лечебни и рехабилитационни програми за борба с редица социално-значими заболявания като стреса, заболявания на сърдечно-съдова система и диабет.</w:t>
      </w:r>
    </w:p>
    <w:p w14:paraId="150E9BDB" w14:textId="77777777" w:rsidR="008838B5" w:rsidRPr="00343875" w:rsidRDefault="008838B5" w:rsidP="00343875">
      <w:pPr>
        <w:spacing w:after="0" w:line="240" w:lineRule="auto"/>
        <w:ind w:firstLine="708"/>
        <w:jc w:val="both"/>
        <w:outlineLvl w:val="0"/>
        <w:rPr>
          <w:rFonts w:ascii="Times New Roman" w:eastAsia="Times New Roman" w:hAnsi="Times New Roman" w:cs="Times New Roman"/>
          <w:bCs/>
          <w:sz w:val="24"/>
          <w:szCs w:val="24"/>
        </w:rPr>
      </w:pPr>
    </w:p>
    <w:p w14:paraId="414494AF" w14:textId="7EC4998E" w:rsidR="00A16894" w:rsidRPr="000837AE" w:rsidRDefault="00A16894" w:rsidP="000837AE">
      <w:pPr>
        <w:pStyle w:val="a5"/>
        <w:keepNext/>
        <w:numPr>
          <w:ilvl w:val="0"/>
          <w:numId w:val="22"/>
        </w:numPr>
        <w:spacing w:before="120" w:after="24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lastRenderedPageBreak/>
        <w:t>ОБЕМ НА ИЗВЪРШЕНАТА ЛЕЧЕБНО</w:t>
      </w:r>
      <w:r w:rsidR="008838B5">
        <w:rPr>
          <w:rFonts w:ascii="Times New Roman" w:eastAsia="Times New Roman" w:hAnsi="Times New Roman" w:cs="Times New Roman"/>
          <w:b/>
          <w:bCs/>
          <w:sz w:val="24"/>
          <w:szCs w:val="24"/>
        </w:rPr>
        <w:t xml:space="preserve"> </w:t>
      </w:r>
      <w:r w:rsidR="00BA277C">
        <w:rPr>
          <w:rFonts w:ascii="Times New Roman" w:eastAsia="Times New Roman" w:hAnsi="Times New Roman" w:cs="Times New Roman"/>
          <w:b/>
          <w:bCs/>
          <w:sz w:val="24"/>
          <w:szCs w:val="24"/>
        </w:rPr>
        <w:t>-</w:t>
      </w:r>
      <w:r w:rsidR="008838B5">
        <w:rPr>
          <w:rFonts w:ascii="Times New Roman" w:eastAsia="Times New Roman" w:hAnsi="Times New Roman" w:cs="Times New Roman"/>
          <w:b/>
          <w:bCs/>
          <w:sz w:val="24"/>
          <w:szCs w:val="24"/>
        </w:rPr>
        <w:t xml:space="preserve"> </w:t>
      </w:r>
      <w:r w:rsidRPr="000837AE">
        <w:rPr>
          <w:rFonts w:ascii="Times New Roman" w:eastAsia="Times New Roman" w:hAnsi="Times New Roman" w:cs="Times New Roman"/>
          <w:b/>
          <w:bCs/>
          <w:sz w:val="24"/>
          <w:szCs w:val="24"/>
        </w:rPr>
        <w:t xml:space="preserve">РЕХАБИЛИТАЦИОННА И ПРОФИЛАКТИЧНА ДЕЙНОСТ </w:t>
      </w:r>
    </w:p>
    <w:p w14:paraId="10B89522" w14:textId="4F770B1D" w:rsidR="00A16894" w:rsidRPr="000837AE" w:rsidRDefault="00A16894" w:rsidP="00AD25DD">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Разполагайки с необходимия кадрови ресурс, леглова база, лечебна апаратура, СБР „Света Богородица” извършва сериозна лечебно-рехабилитационна дейност, както по обем, така и по постигнато качество и ефективност. </w:t>
      </w:r>
    </w:p>
    <w:p w14:paraId="264BD758" w14:textId="0B4A8F48" w:rsidR="00A16894" w:rsidRDefault="00181947" w:rsidP="00C545D4">
      <w:pPr>
        <w:keepNext/>
        <w:spacing w:before="120" w:after="0" w:line="240" w:lineRule="auto"/>
        <w:ind w:left="3828" w:hanging="2694"/>
        <w:rPr>
          <w:rFonts w:ascii="Times New Roman" w:eastAsia="Times New Roman" w:hAnsi="Times New Roman" w:cs="Times New Roman"/>
          <w:bCs/>
          <w:i/>
          <w:iCs/>
          <w:sz w:val="24"/>
          <w:szCs w:val="24"/>
        </w:rPr>
      </w:pPr>
      <w:r w:rsidRPr="006F3432">
        <w:rPr>
          <w:rFonts w:ascii="Times New Roman" w:eastAsia="Times New Roman" w:hAnsi="Times New Roman" w:cs="Times New Roman"/>
          <w:b/>
          <w:bCs/>
          <w:iCs/>
          <w:sz w:val="20"/>
          <w:szCs w:val="20"/>
        </w:rPr>
        <w:t xml:space="preserve">Таблица 1: </w:t>
      </w:r>
      <w:r w:rsidR="00A16894" w:rsidRPr="000837AE">
        <w:rPr>
          <w:rFonts w:ascii="Times New Roman" w:eastAsia="Times New Roman" w:hAnsi="Times New Roman" w:cs="Times New Roman"/>
          <w:bCs/>
          <w:i/>
          <w:iCs/>
          <w:sz w:val="24"/>
          <w:szCs w:val="24"/>
        </w:rPr>
        <w:t>Преминали пациенти в</w:t>
      </w:r>
      <w:r w:rsidR="00A16894" w:rsidRPr="000837AE">
        <w:rPr>
          <w:rFonts w:ascii="Times New Roman" w:eastAsia="Times New Roman" w:hAnsi="Times New Roman" w:cs="Times New Roman"/>
          <w:i/>
          <w:sz w:val="24"/>
          <w:szCs w:val="24"/>
        </w:rPr>
        <w:t xml:space="preserve"> </w:t>
      </w:r>
      <w:r w:rsidR="00A16894" w:rsidRPr="000837AE">
        <w:rPr>
          <w:rFonts w:ascii="Times New Roman" w:eastAsia="Times New Roman" w:hAnsi="Times New Roman" w:cs="Times New Roman"/>
          <w:bCs/>
          <w:i/>
          <w:iCs/>
          <w:sz w:val="24"/>
          <w:szCs w:val="24"/>
        </w:rPr>
        <w:t xml:space="preserve">СБР “Света Богородица” ЕООД </w:t>
      </w:r>
      <w:r w:rsidR="0020109B">
        <w:rPr>
          <w:rFonts w:ascii="Times New Roman" w:eastAsia="Times New Roman" w:hAnsi="Times New Roman" w:cs="Times New Roman"/>
          <w:bCs/>
          <w:i/>
          <w:iCs/>
          <w:sz w:val="24"/>
          <w:szCs w:val="24"/>
          <w:lang w:val="en-US"/>
        </w:rPr>
        <w:t xml:space="preserve"> </w:t>
      </w:r>
      <w:r w:rsidR="00E53E49" w:rsidRPr="000837AE">
        <w:rPr>
          <w:rFonts w:ascii="Times New Roman" w:eastAsia="Times New Roman" w:hAnsi="Times New Roman" w:cs="Times New Roman"/>
          <w:bCs/>
          <w:i/>
          <w:iCs/>
          <w:sz w:val="24"/>
          <w:szCs w:val="24"/>
        </w:rPr>
        <w:t>за периода</w:t>
      </w:r>
      <w:r w:rsidR="00A16894" w:rsidRPr="000837AE">
        <w:rPr>
          <w:rFonts w:ascii="Times New Roman" w:eastAsia="Times New Roman" w:hAnsi="Times New Roman" w:cs="Times New Roman"/>
          <w:bCs/>
          <w:i/>
          <w:iCs/>
          <w:sz w:val="24"/>
          <w:szCs w:val="24"/>
        </w:rPr>
        <w:t xml:space="preserve"> </w:t>
      </w:r>
      <w:r w:rsidR="00707331">
        <w:rPr>
          <w:rFonts w:ascii="Times New Roman" w:eastAsia="Times New Roman" w:hAnsi="Times New Roman" w:cs="Times New Roman"/>
          <w:bCs/>
          <w:i/>
          <w:iCs/>
          <w:sz w:val="24"/>
          <w:szCs w:val="24"/>
        </w:rPr>
        <w:t>01.01.2024</w:t>
      </w:r>
      <w:r w:rsidR="00E4610F" w:rsidRPr="000837AE">
        <w:rPr>
          <w:rFonts w:ascii="Times New Roman" w:eastAsia="Times New Roman" w:hAnsi="Times New Roman" w:cs="Times New Roman"/>
          <w:bCs/>
          <w:i/>
          <w:iCs/>
          <w:sz w:val="24"/>
          <w:szCs w:val="24"/>
        </w:rPr>
        <w:t xml:space="preserve"> </w:t>
      </w:r>
      <w:r w:rsidR="00A16894" w:rsidRPr="000837AE">
        <w:rPr>
          <w:rFonts w:ascii="Times New Roman" w:eastAsia="Times New Roman" w:hAnsi="Times New Roman" w:cs="Times New Roman"/>
          <w:bCs/>
          <w:i/>
          <w:iCs/>
          <w:sz w:val="24"/>
          <w:szCs w:val="24"/>
        </w:rPr>
        <w:t xml:space="preserve"> – </w:t>
      </w:r>
      <w:r w:rsidR="00E1591E">
        <w:rPr>
          <w:rFonts w:ascii="Times New Roman" w:eastAsia="Times New Roman" w:hAnsi="Times New Roman" w:cs="Times New Roman"/>
          <w:bCs/>
          <w:i/>
          <w:iCs/>
          <w:sz w:val="24"/>
          <w:szCs w:val="24"/>
        </w:rPr>
        <w:t>30.09.2024</w:t>
      </w:r>
      <w:r w:rsidR="00E4610F" w:rsidRPr="000837AE">
        <w:rPr>
          <w:rFonts w:ascii="Times New Roman" w:eastAsia="Times New Roman" w:hAnsi="Times New Roman" w:cs="Times New Roman"/>
          <w:bCs/>
          <w:i/>
          <w:iCs/>
          <w:sz w:val="24"/>
          <w:szCs w:val="24"/>
        </w:rPr>
        <w:t xml:space="preserve"> </w:t>
      </w:r>
      <w:r w:rsidR="00A16894" w:rsidRPr="000837AE">
        <w:rPr>
          <w:rFonts w:ascii="Times New Roman" w:eastAsia="Times New Roman" w:hAnsi="Times New Roman" w:cs="Times New Roman"/>
          <w:bCs/>
          <w:i/>
          <w:iCs/>
          <w:sz w:val="24"/>
          <w:szCs w:val="24"/>
        </w:rPr>
        <w:t>година</w:t>
      </w:r>
    </w:p>
    <w:p w14:paraId="7DE7C818" w14:textId="52968C41" w:rsidR="005C0513" w:rsidRPr="002A74EA" w:rsidRDefault="002A74EA" w:rsidP="002A74EA">
      <w:pPr>
        <w:spacing w:before="120" w:after="0" w:line="240" w:lineRule="auto"/>
        <w:ind w:left="1560" w:hanging="1560"/>
        <w:jc w:val="center"/>
        <w:rPr>
          <w:rFonts w:ascii="Times New Roman" w:eastAsia="Times New Roman" w:hAnsi="Times New Roman" w:cs="Times New Roman"/>
          <w:bCs/>
          <w:i/>
          <w:iCs/>
          <w:sz w:val="24"/>
          <w:szCs w:val="24"/>
        </w:rPr>
      </w:pPr>
      <w:r w:rsidRPr="002A74EA">
        <w:rPr>
          <w:noProof/>
        </w:rPr>
        <w:drawing>
          <wp:inline distT="0" distB="0" distL="0" distR="0" wp14:anchorId="7AABD231" wp14:editId="3D2C385E">
            <wp:extent cx="5076701" cy="1513707"/>
            <wp:effectExtent l="0" t="0" r="0" b="0"/>
            <wp:docPr id="123199480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5066" cy="1519183"/>
                    </a:xfrm>
                    <a:prstGeom prst="rect">
                      <a:avLst/>
                    </a:prstGeom>
                    <a:noFill/>
                    <a:ln>
                      <a:noFill/>
                    </a:ln>
                  </pic:spPr>
                </pic:pic>
              </a:graphicData>
            </a:graphic>
          </wp:inline>
        </w:drawing>
      </w:r>
    </w:p>
    <w:p w14:paraId="3492140B" w14:textId="77777777" w:rsidR="008838B5" w:rsidRDefault="008838B5" w:rsidP="0036129C">
      <w:pPr>
        <w:spacing w:after="0" w:line="240" w:lineRule="auto"/>
        <w:ind w:firstLine="709"/>
        <w:jc w:val="both"/>
        <w:outlineLvl w:val="0"/>
        <w:rPr>
          <w:rFonts w:ascii="Times New Roman" w:eastAsia="Times New Roman" w:hAnsi="Times New Roman" w:cs="Times New Roman"/>
          <w:bCs/>
          <w:sz w:val="24"/>
          <w:szCs w:val="24"/>
        </w:rPr>
      </w:pPr>
    </w:p>
    <w:p w14:paraId="2FC14389" w14:textId="6C7DE39E" w:rsidR="0036129C" w:rsidRDefault="0036129C" w:rsidP="0036129C">
      <w:pPr>
        <w:spacing w:after="0" w:line="240" w:lineRule="auto"/>
        <w:ind w:firstLine="709"/>
        <w:jc w:val="both"/>
        <w:outlineLvl w:val="0"/>
        <w:rPr>
          <w:rFonts w:ascii="Times New Roman" w:eastAsia="Times New Roman" w:hAnsi="Times New Roman" w:cs="Times New Roman"/>
          <w:bCs/>
          <w:sz w:val="24"/>
          <w:szCs w:val="24"/>
          <w:lang w:val="en-US"/>
        </w:rPr>
      </w:pPr>
      <w:r w:rsidRPr="000837AE">
        <w:rPr>
          <w:rFonts w:ascii="Times New Roman" w:eastAsia="Times New Roman" w:hAnsi="Times New Roman" w:cs="Times New Roman"/>
          <w:bCs/>
          <w:sz w:val="24"/>
          <w:szCs w:val="24"/>
        </w:rPr>
        <w:t xml:space="preserve">Графично съпоставимостта на пациентопотока </w:t>
      </w:r>
      <w:r w:rsidR="00E1591E">
        <w:rPr>
          <w:rFonts w:ascii="Times New Roman" w:eastAsia="Times New Roman" w:hAnsi="Times New Roman" w:cs="Times New Roman"/>
          <w:bCs/>
          <w:sz w:val="24"/>
          <w:szCs w:val="24"/>
        </w:rPr>
        <w:t xml:space="preserve">през отчетния период на 2024 г. </w:t>
      </w:r>
      <w:r w:rsidRPr="000837AE">
        <w:rPr>
          <w:rFonts w:ascii="Times New Roman" w:eastAsia="Times New Roman" w:hAnsi="Times New Roman" w:cs="Times New Roman"/>
          <w:bCs/>
          <w:sz w:val="24"/>
          <w:szCs w:val="24"/>
        </w:rPr>
        <w:t xml:space="preserve">спрямо </w:t>
      </w:r>
      <w:r w:rsidR="00E1591E">
        <w:rPr>
          <w:rFonts w:ascii="Times New Roman" w:eastAsia="Times New Roman" w:hAnsi="Times New Roman" w:cs="Times New Roman"/>
          <w:bCs/>
          <w:sz w:val="24"/>
          <w:szCs w:val="24"/>
        </w:rPr>
        <w:t>деветмесечието</w:t>
      </w:r>
      <w:r w:rsidRPr="000837AE">
        <w:rPr>
          <w:rFonts w:ascii="Times New Roman" w:eastAsia="Times New Roman" w:hAnsi="Times New Roman" w:cs="Times New Roman"/>
          <w:bCs/>
          <w:sz w:val="24"/>
          <w:szCs w:val="24"/>
        </w:rPr>
        <w:t xml:space="preserve"> на 202</w:t>
      </w:r>
      <w:r w:rsidR="00E1591E">
        <w:rPr>
          <w:rFonts w:ascii="Times New Roman" w:eastAsia="Times New Roman" w:hAnsi="Times New Roman" w:cs="Times New Roman"/>
          <w:bCs/>
          <w:sz w:val="24"/>
          <w:szCs w:val="24"/>
        </w:rPr>
        <w:t>3</w:t>
      </w:r>
      <w:r w:rsidRPr="000837AE">
        <w:rPr>
          <w:rFonts w:ascii="Times New Roman" w:eastAsia="Times New Roman" w:hAnsi="Times New Roman" w:cs="Times New Roman"/>
          <w:bCs/>
          <w:sz w:val="24"/>
          <w:szCs w:val="24"/>
        </w:rPr>
        <w:t xml:space="preserve"> год. може да се изрази по следния начин:</w:t>
      </w:r>
    </w:p>
    <w:p w14:paraId="621ACE16" w14:textId="77777777" w:rsidR="00CF137D" w:rsidRPr="00CF137D" w:rsidRDefault="00CF137D" w:rsidP="0036129C">
      <w:pPr>
        <w:spacing w:after="0" w:line="240" w:lineRule="auto"/>
        <w:ind w:firstLine="709"/>
        <w:jc w:val="both"/>
        <w:outlineLvl w:val="0"/>
        <w:rPr>
          <w:rFonts w:ascii="Times New Roman" w:eastAsia="Times New Roman" w:hAnsi="Times New Roman" w:cs="Times New Roman"/>
          <w:bCs/>
          <w:sz w:val="24"/>
          <w:szCs w:val="24"/>
          <w:lang w:val="en-US"/>
        </w:rPr>
      </w:pPr>
    </w:p>
    <w:p w14:paraId="1042AF64" w14:textId="36AFB260" w:rsidR="006F6178" w:rsidRDefault="008838B5" w:rsidP="00643E57">
      <w:pPr>
        <w:spacing w:after="0" w:line="240" w:lineRule="auto"/>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val="en-US"/>
        </w:rPr>
        <w:drawing>
          <wp:inline distT="0" distB="0" distL="0" distR="0" wp14:anchorId="7FC8DC7E" wp14:editId="28B4AF24">
            <wp:extent cx="5017273" cy="2063687"/>
            <wp:effectExtent l="0" t="0" r="0" b="0"/>
            <wp:docPr id="6124352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452" cy="2068696"/>
                    </a:xfrm>
                    <a:prstGeom prst="rect">
                      <a:avLst/>
                    </a:prstGeom>
                    <a:noFill/>
                  </pic:spPr>
                </pic:pic>
              </a:graphicData>
            </a:graphic>
          </wp:inline>
        </w:drawing>
      </w:r>
    </w:p>
    <w:p w14:paraId="568C5C8E" w14:textId="77777777" w:rsidR="00643E57" w:rsidRPr="000837AE" w:rsidRDefault="00643E57" w:rsidP="00643E57">
      <w:pPr>
        <w:spacing w:after="0" w:line="240" w:lineRule="auto"/>
        <w:ind w:firstLine="708"/>
        <w:jc w:val="both"/>
        <w:outlineLvl w:val="0"/>
        <w:rPr>
          <w:rFonts w:ascii="Times New Roman" w:eastAsia="Times New Roman" w:hAnsi="Times New Roman" w:cs="Times New Roman"/>
          <w:bCs/>
          <w:sz w:val="24"/>
          <w:szCs w:val="24"/>
        </w:rPr>
      </w:pPr>
    </w:p>
    <w:p w14:paraId="68649EFF" w14:textId="61F65E40" w:rsidR="00CF137D" w:rsidRPr="00CF137D" w:rsidRDefault="00CF137D" w:rsidP="00CF137D">
      <w:pPr>
        <w:widowControl w:val="0"/>
        <w:spacing w:after="0" w:line="240" w:lineRule="auto"/>
        <w:ind w:firstLine="709"/>
        <w:jc w:val="both"/>
        <w:outlineLvl w:val="0"/>
        <w:rPr>
          <w:rFonts w:ascii="Times New Roman" w:eastAsia="Times New Roman" w:hAnsi="Times New Roman" w:cs="Times New Roman"/>
          <w:bCs/>
          <w:sz w:val="24"/>
          <w:szCs w:val="24"/>
        </w:rPr>
      </w:pPr>
      <w:r w:rsidRPr="00CF137D">
        <w:rPr>
          <w:rFonts w:ascii="Times New Roman" w:eastAsia="Times New Roman" w:hAnsi="Times New Roman" w:cs="Times New Roman"/>
          <w:bCs/>
          <w:sz w:val="24"/>
          <w:szCs w:val="24"/>
        </w:rPr>
        <w:t>Реализирани са 29 598 леглодни, средната заетост на легловата база е 62,29%.</w:t>
      </w:r>
      <w:r w:rsidR="008838B5">
        <w:rPr>
          <w:rFonts w:ascii="Times New Roman" w:eastAsia="Times New Roman" w:hAnsi="Times New Roman" w:cs="Times New Roman"/>
          <w:bCs/>
          <w:sz w:val="24"/>
          <w:szCs w:val="24"/>
        </w:rPr>
        <w:t xml:space="preserve"> </w:t>
      </w:r>
      <w:r w:rsidRPr="00CF137D">
        <w:rPr>
          <w:rFonts w:ascii="Times New Roman" w:eastAsia="Times New Roman" w:hAnsi="Times New Roman" w:cs="Times New Roman"/>
          <w:bCs/>
          <w:sz w:val="24"/>
          <w:szCs w:val="24"/>
        </w:rPr>
        <w:t xml:space="preserve">Реализираните леглодни са с 405 повече от </w:t>
      </w:r>
      <w:r w:rsidR="008838B5">
        <w:rPr>
          <w:rFonts w:ascii="Times New Roman" w:eastAsia="Times New Roman" w:hAnsi="Times New Roman" w:cs="Times New Roman"/>
          <w:bCs/>
          <w:sz w:val="24"/>
          <w:szCs w:val="24"/>
        </w:rPr>
        <w:t xml:space="preserve">аналогичния </w:t>
      </w:r>
      <w:r w:rsidR="008838B5" w:rsidRPr="00CF137D">
        <w:rPr>
          <w:rFonts w:ascii="Times New Roman" w:eastAsia="Times New Roman" w:hAnsi="Times New Roman" w:cs="Times New Roman"/>
          <w:bCs/>
          <w:sz w:val="24"/>
          <w:szCs w:val="24"/>
        </w:rPr>
        <w:t xml:space="preserve">период </w:t>
      </w:r>
      <w:r w:rsidR="008838B5">
        <w:rPr>
          <w:rFonts w:ascii="Times New Roman" w:eastAsia="Times New Roman" w:hAnsi="Times New Roman" w:cs="Times New Roman"/>
          <w:bCs/>
          <w:sz w:val="24"/>
          <w:szCs w:val="24"/>
        </w:rPr>
        <w:t>на предходната година</w:t>
      </w:r>
      <w:r w:rsidRPr="00CF137D">
        <w:rPr>
          <w:rFonts w:ascii="Times New Roman" w:eastAsia="Times New Roman" w:hAnsi="Times New Roman" w:cs="Times New Roman"/>
          <w:bCs/>
          <w:sz w:val="24"/>
          <w:szCs w:val="24"/>
        </w:rPr>
        <w:t xml:space="preserve">, но преминалите пациенти са с 310 бр. </w:t>
      </w:r>
      <w:r w:rsidR="008838B5">
        <w:rPr>
          <w:rFonts w:ascii="Times New Roman" w:eastAsia="Times New Roman" w:hAnsi="Times New Roman" w:cs="Times New Roman"/>
          <w:bCs/>
          <w:sz w:val="24"/>
          <w:szCs w:val="24"/>
        </w:rPr>
        <w:t>по</w:t>
      </w:r>
      <w:r>
        <w:rPr>
          <w:rFonts w:ascii="Times New Roman" w:eastAsia="Times New Roman" w:hAnsi="Times New Roman" w:cs="Times New Roman"/>
          <w:bCs/>
          <w:sz w:val="24"/>
          <w:szCs w:val="24"/>
          <w:lang w:val="en-US"/>
        </w:rPr>
        <w:t>-</w:t>
      </w:r>
      <w:r w:rsidRPr="00CF137D">
        <w:rPr>
          <w:rFonts w:ascii="Times New Roman" w:eastAsia="Times New Roman" w:hAnsi="Times New Roman" w:cs="Times New Roman"/>
          <w:bCs/>
          <w:sz w:val="24"/>
          <w:szCs w:val="24"/>
        </w:rPr>
        <w:t>малко. Анализ</w:t>
      </w:r>
      <w:r>
        <w:rPr>
          <w:rFonts w:ascii="Times New Roman" w:eastAsia="Times New Roman" w:hAnsi="Times New Roman" w:cs="Times New Roman"/>
          <w:bCs/>
          <w:sz w:val="24"/>
          <w:szCs w:val="24"/>
        </w:rPr>
        <w:t>ът</w:t>
      </w:r>
      <w:r w:rsidRPr="00CF137D">
        <w:rPr>
          <w:rFonts w:ascii="Times New Roman" w:eastAsia="Times New Roman" w:hAnsi="Times New Roman" w:cs="Times New Roman"/>
          <w:bCs/>
          <w:sz w:val="24"/>
          <w:szCs w:val="24"/>
        </w:rPr>
        <w:t xml:space="preserve"> показва, че това се дължи на отпаднали резервации. </w:t>
      </w:r>
    </w:p>
    <w:p w14:paraId="77347F17" w14:textId="44009D20" w:rsidR="00CF137D" w:rsidRPr="00CF137D" w:rsidRDefault="00CF137D" w:rsidP="00CF137D">
      <w:pPr>
        <w:widowControl w:val="0"/>
        <w:spacing w:after="0" w:line="240" w:lineRule="auto"/>
        <w:ind w:firstLine="709"/>
        <w:jc w:val="both"/>
        <w:outlineLvl w:val="0"/>
        <w:rPr>
          <w:rFonts w:ascii="Times New Roman" w:eastAsia="Times New Roman" w:hAnsi="Times New Roman" w:cs="Times New Roman"/>
          <w:bCs/>
          <w:sz w:val="24"/>
          <w:szCs w:val="24"/>
        </w:rPr>
      </w:pPr>
      <w:r w:rsidRPr="00CF137D">
        <w:rPr>
          <w:rFonts w:ascii="Times New Roman" w:eastAsia="Times New Roman" w:hAnsi="Times New Roman" w:cs="Times New Roman"/>
          <w:bCs/>
          <w:sz w:val="24"/>
          <w:szCs w:val="24"/>
        </w:rPr>
        <w:t>Лимит</w:t>
      </w:r>
      <w:r>
        <w:rPr>
          <w:rFonts w:ascii="Times New Roman" w:eastAsia="Times New Roman" w:hAnsi="Times New Roman" w:cs="Times New Roman"/>
          <w:bCs/>
          <w:sz w:val="24"/>
          <w:szCs w:val="24"/>
        </w:rPr>
        <w:t>ът</w:t>
      </w:r>
      <w:r w:rsidRPr="00CF137D">
        <w:rPr>
          <w:rFonts w:ascii="Times New Roman" w:eastAsia="Times New Roman" w:hAnsi="Times New Roman" w:cs="Times New Roman"/>
          <w:bCs/>
          <w:sz w:val="24"/>
          <w:szCs w:val="24"/>
        </w:rPr>
        <w:t xml:space="preserve"> по клиничните пътеки е ограничен и строго определен съгласно изискванията по договора с РЗОК – гр. Пловдив, а възможностите на лечебното заведение, легловата база, специалистите с които разполагаме, балнео-лечебния сектор и физиотерапевтичните звена предоставят много по-големи възможности. Проведени са разговори с Директора на РЗОК гр.</w:t>
      </w:r>
      <w:r>
        <w:rPr>
          <w:rFonts w:ascii="Times New Roman" w:eastAsia="Times New Roman" w:hAnsi="Times New Roman" w:cs="Times New Roman"/>
          <w:bCs/>
          <w:sz w:val="24"/>
          <w:szCs w:val="24"/>
        </w:rPr>
        <w:t> </w:t>
      </w:r>
      <w:r w:rsidRPr="00CF137D">
        <w:rPr>
          <w:rFonts w:ascii="Times New Roman" w:eastAsia="Times New Roman" w:hAnsi="Times New Roman" w:cs="Times New Roman"/>
          <w:bCs/>
          <w:sz w:val="24"/>
          <w:szCs w:val="24"/>
        </w:rPr>
        <w:t xml:space="preserve">Пловдив за евентуално увеличаване на този лимит. Разбираемо е желанието на управителя на болницата за многократно увеличение на този лимит, още повече, че стратегията на Министерство на здравеопазването и НЗОК </w:t>
      </w:r>
      <w:r>
        <w:rPr>
          <w:rFonts w:ascii="Times New Roman" w:eastAsia="Times New Roman" w:hAnsi="Times New Roman" w:cs="Times New Roman"/>
          <w:bCs/>
          <w:sz w:val="24"/>
          <w:szCs w:val="24"/>
        </w:rPr>
        <w:t xml:space="preserve">е </w:t>
      </w:r>
      <w:r w:rsidRPr="00CF137D">
        <w:rPr>
          <w:rFonts w:ascii="Times New Roman" w:eastAsia="Times New Roman" w:hAnsi="Times New Roman" w:cs="Times New Roman"/>
          <w:bCs/>
          <w:sz w:val="24"/>
          <w:szCs w:val="24"/>
        </w:rPr>
        <w:t>занапред да се отдели особено внимание за отпускане на средства за профилактика и рехабилитация, особено към болниците с такова предназначение, да упражнява необходимия натиск към съответните институции.</w:t>
      </w:r>
    </w:p>
    <w:p w14:paraId="7A253629" w14:textId="36EA1DFE" w:rsidR="00CF137D" w:rsidRPr="00CF137D" w:rsidRDefault="00CF137D" w:rsidP="00CF137D">
      <w:pPr>
        <w:widowControl w:val="0"/>
        <w:spacing w:after="0" w:line="240" w:lineRule="auto"/>
        <w:ind w:firstLine="709"/>
        <w:jc w:val="both"/>
        <w:outlineLvl w:val="0"/>
        <w:rPr>
          <w:rFonts w:ascii="Times New Roman" w:eastAsia="Times New Roman" w:hAnsi="Times New Roman" w:cs="Times New Roman"/>
          <w:bCs/>
          <w:sz w:val="24"/>
          <w:szCs w:val="24"/>
        </w:rPr>
      </w:pPr>
      <w:r w:rsidRPr="00CF137D">
        <w:rPr>
          <w:rFonts w:ascii="Times New Roman" w:eastAsia="Times New Roman" w:hAnsi="Times New Roman" w:cs="Times New Roman"/>
          <w:bCs/>
          <w:sz w:val="24"/>
          <w:szCs w:val="24"/>
        </w:rPr>
        <w:t>В края на миналия век, преобладаващия</w:t>
      </w:r>
      <w:r>
        <w:rPr>
          <w:rFonts w:ascii="Times New Roman" w:eastAsia="Times New Roman" w:hAnsi="Times New Roman" w:cs="Times New Roman"/>
          <w:bCs/>
          <w:sz w:val="24"/>
          <w:szCs w:val="24"/>
        </w:rPr>
        <w:t>т</w:t>
      </w:r>
      <w:r w:rsidRPr="00CF137D">
        <w:rPr>
          <w:rFonts w:ascii="Times New Roman" w:eastAsia="Times New Roman" w:hAnsi="Times New Roman" w:cs="Times New Roman"/>
          <w:bCs/>
          <w:sz w:val="24"/>
          <w:szCs w:val="24"/>
        </w:rPr>
        <w:t xml:space="preserve"> брой преминали пациенти са били с конверзионни разстройства, докато в настоящия момент и в близкото минало преобладават болните основно с депресивно и паническо разстройство.</w:t>
      </w:r>
      <w:r w:rsidR="008838B5">
        <w:rPr>
          <w:rFonts w:ascii="Times New Roman" w:eastAsia="Times New Roman" w:hAnsi="Times New Roman" w:cs="Times New Roman"/>
          <w:bCs/>
          <w:sz w:val="24"/>
          <w:szCs w:val="24"/>
        </w:rPr>
        <w:t xml:space="preserve"> </w:t>
      </w:r>
      <w:r w:rsidRPr="00CF137D">
        <w:rPr>
          <w:rFonts w:ascii="Times New Roman" w:eastAsia="Times New Roman" w:hAnsi="Times New Roman" w:cs="Times New Roman"/>
          <w:bCs/>
          <w:sz w:val="24"/>
          <w:szCs w:val="24"/>
        </w:rPr>
        <w:t>Тази тенденция за увеличаване в национален мащаб на този вид заболявания налага квалификацията на специалистите в заведението да преустроят формите и методите на лечение. Стремежът на ръководството на болницата, освен провеждането на не</w:t>
      </w:r>
      <w:r w:rsidRPr="00CF137D">
        <w:rPr>
          <w:rFonts w:ascii="Times New Roman" w:eastAsia="Times New Roman" w:hAnsi="Times New Roman" w:cs="Times New Roman"/>
          <w:bCs/>
          <w:sz w:val="24"/>
          <w:szCs w:val="24"/>
        </w:rPr>
        <w:lastRenderedPageBreak/>
        <w:t>обходимите лечебни и рехабилитационни мероприятия, е да осъществява увеличаване постъплението на финансови средства, което от своя страна ни принуждава да се съобразяваме с изискванията на пазара и да се насочваме към онези лечебни ниши, които ще ни донесат съответните приходи.</w:t>
      </w:r>
    </w:p>
    <w:p w14:paraId="2305FA7A" w14:textId="77777777" w:rsidR="0020109B" w:rsidRPr="0020109B" w:rsidRDefault="0020109B" w:rsidP="0020109B">
      <w:pPr>
        <w:spacing w:after="0" w:line="240" w:lineRule="auto"/>
        <w:ind w:firstLine="708"/>
        <w:jc w:val="both"/>
        <w:outlineLvl w:val="0"/>
        <w:rPr>
          <w:rFonts w:ascii="Times New Roman" w:eastAsia="Times New Roman" w:hAnsi="Times New Roman" w:cs="Times New Roman"/>
          <w:bCs/>
          <w:sz w:val="24"/>
          <w:szCs w:val="24"/>
          <w:lang w:val="en-US"/>
        </w:rPr>
      </w:pPr>
    </w:p>
    <w:p w14:paraId="4591D528" w14:textId="766D2F6B" w:rsidR="00A16894" w:rsidRDefault="00181947" w:rsidP="00C545D4">
      <w:pPr>
        <w:keepNext/>
        <w:tabs>
          <w:tab w:val="left" w:pos="142"/>
        </w:tabs>
        <w:spacing w:after="0" w:line="360" w:lineRule="auto"/>
        <w:ind w:firstLine="1134"/>
        <w:rPr>
          <w:rFonts w:ascii="Times New Roman" w:eastAsia="Times New Roman" w:hAnsi="Times New Roman" w:cs="Times New Roman"/>
          <w:bCs/>
          <w:i/>
          <w:sz w:val="24"/>
          <w:szCs w:val="24"/>
        </w:rPr>
      </w:pPr>
      <w:r w:rsidRPr="006F3432">
        <w:rPr>
          <w:rFonts w:ascii="Times New Roman" w:eastAsia="Times New Roman" w:hAnsi="Times New Roman" w:cs="Times New Roman"/>
          <w:b/>
          <w:bCs/>
          <w:iCs/>
          <w:sz w:val="20"/>
          <w:szCs w:val="20"/>
        </w:rPr>
        <w:t xml:space="preserve">Таблица 2: </w:t>
      </w:r>
      <w:r w:rsidR="00A16894" w:rsidRPr="000837AE">
        <w:rPr>
          <w:rFonts w:ascii="Times New Roman" w:eastAsia="Times New Roman" w:hAnsi="Times New Roman" w:cs="Times New Roman"/>
          <w:bCs/>
          <w:i/>
          <w:sz w:val="24"/>
          <w:szCs w:val="24"/>
        </w:rPr>
        <w:t xml:space="preserve">Извършени </w:t>
      </w:r>
      <w:r w:rsidR="00CF137D" w:rsidRPr="00CF137D">
        <w:rPr>
          <w:rFonts w:ascii="Times New Roman" w:eastAsia="Times New Roman" w:hAnsi="Times New Roman" w:cs="Times New Roman"/>
          <w:bCs/>
          <w:i/>
          <w:sz w:val="24"/>
          <w:szCs w:val="24"/>
        </w:rPr>
        <w:t>лечебно</w:t>
      </w:r>
      <w:r w:rsidR="00CF137D">
        <w:rPr>
          <w:rFonts w:ascii="Times New Roman" w:eastAsia="Times New Roman" w:hAnsi="Times New Roman" w:cs="Times New Roman"/>
          <w:bCs/>
          <w:i/>
          <w:sz w:val="24"/>
          <w:szCs w:val="24"/>
        </w:rPr>
        <w:t xml:space="preserve"> -</w:t>
      </w:r>
      <w:r w:rsidR="00CF137D" w:rsidRPr="00CF137D">
        <w:rPr>
          <w:rFonts w:ascii="Times New Roman" w:eastAsia="Times New Roman" w:hAnsi="Times New Roman" w:cs="Times New Roman"/>
          <w:bCs/>
          <w:i/>
          <w:sz w:val="24"/>
          <w:szCs w:val="24"/>
        </w:rPr>
        <w:t xml:space="preserve"> диагностични дейности</w:t>
      </w:r>
      <w:r w:rsidR="00CF137D" w:rsidRPr="000837AE">
        <w:rPr>
          <w:rFonts w:ascii="Times New Roman" w:eastAsia="Times New Roman" w:hAnsi="Times New Roman" w:cs="Times New Roman"/>
          <w:bCs/>
          <w:i/>
          <w:sz w:val="24"/>
          <w:szCs w:val="24"/>
        </w:rPr>
        <w:t xml:space="preserve"> </w:t>
      </w:r>
      <w:r w:rsidR="00CF137D">
        <w:rPr>
          <w:rFonts w:ascii="Times New Roman" w:eastAsia="Times New Roman" w:hAnsi="Times New Roman" w:cs="Times New Roman"/>
          <w:bCs/>
          <w:i/>
          <w:sz w:val="24"/>
          <w:szCs w:val="24"/>
        </w:rPr>
        <w:t>към</w:t>
      </w:r>
      <w:r w:rsidR="00A16894" w:rsidRPr="000837AE">
        <w:rPr>
          <w:rFonts w:ascii="Times New Roman" w:eastAsia="Times New Roman" w:hAnsi="Times New Roman" w:cs="Times New Roman"/>
          <w:bCs/>
          <w:i/>
          <w:sz w:val="24"/>
          <w:szCs w:val="24"/>
        </w:rPr>
        <w:t xml:space="preserve"> </w:t>
      </w:r>
      <w:r w:rsidR="00E1591E">
        <w:rPr>
          <w:rFonts w:ascii="Times New Roman" w:eastAsia="Times New Roman" w:hAnsi="Times New Roman" w:cs="Times New Roman"/>
          <w:bCs/>
          <w:i/>
          <w:sz w:val="24"/>
          <w:szCs w:val="24"/>
        </w:rPr>
        <w:t>30.09.2024</w:t>
      </w:r>
      <w:r w:rsidR="00E4610F" w:rsidRPr="000837AE">
        <w:rPr>
          <w:rFonts w:ascii="Times New Roman" w:eastAsia="Times New Roman" w:hAnsi="Times New Roman" w:cs="Times New Roman"/>
          <w:bCs/>
          <w:i/>
          <w:sz w:val="24"/>
          <w:szCs w:val="24"/>
        </w:rPr>
        <w:t xml:space="preserve"> </w:t>
      </w:r>
      <w:r w:rsidR="00A16894" w:rsidRPr="000837AE">
        <w:rPr>
          <w:rFonts w:ascii="Times New Roman" w:eastAsia="Times New Roman" w:hAnsi="Times New Roman" w:cs="Times New Roman"/>
          <w:bCs/>
          <w:i/>
          <w:sz w:val="24"/>
          <w:szCs w:val="24"/>
        </w:rPr>
        <w:t>г.</w:t>
      </w:r>
    </w:p>
    <w:p w14:paraId="6B7B6A19" w14:textId="006F8504" w:rsidR="0074337A" w:rsidRPr="006F6178" w:rsidRDefault="0074337A" w:rsidP="00343875">
      <w:pPr>
        <w:keepNext/>
        <w:tabs>
          <w:tab w:val="left" w:pos="142"/>
        </w:tabs>
        <w:spacing w:after="0" w:line="240" w:lineRule="auto"/>
        <w:ind w:firstLine="142"/>
        <w:jc w:val="center"/>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Pr>
          <w:rFonts w:ascii="Times New Roman" w:eastAsia="Times New Roman" w:hAnsi="Times New Roman" w:cs="Times New Roman"/>
          <w:bCs/>
          <w:i/>
          <w:sz w:val="24"/>
          <w:szCs w:val="24"/>
        </w:rPr>
        <w:tab/>
      </w:r>
      <w:r w:rsidRPr="006F6178">
        <w:rPr>
          <w:rFonts w:ascii="Times New Roman" w:eastAsia="Times New Roman" w:hAnsi="Times New Roman" w:cs="Times New Roman"/>
          <w:bCs/>
          <w:i/>
          <w:sz w:val="24"/>
          <w:szCs w:val="24"/>
        </w:rPr>
        <w:t>(брой)</w:t>
      </w:r>
    </w:p>
    <w:p w14:paraId="66B4BD12" w14:textId="331708E1" w:rsidR="000837AE" w:rsidRPr="002A74EA" w:rsidRDefault="00CF137D" w:rsidP="00C545D4">
      <w:pPr>
        <w:tabs>
          <w:tab w:val="left" w:pos="142"/>
        </w:tabs>
        <w:spacing w:after="0" w:line="360" w:lineRule="auto"/>
        <w:jc w:val="center"/>
        <w:rPr>
          <w:noProof/>
          <w:lang w:val="en-US"/>
        </w:rPr>
      </w:pPr>
      <w:r w:rsidRPr="002A74EA">
        <w:rPr>
          <w:noProof/>
        </w:rPr>
        <w:drawing>
          <wp:inline distT="0" distB="0" distL="0" distR="0" wp14:anchorId="0356948B" wp14:editId="6841C3AF">
            <wp:extent cx="5047013" cy="1937817"/>
            <wp:effectExtent l="0" t="0" r="1270" b="5715"/>
            <wp:docPr id="6692548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0141" cy="1946697"/>
                    </a:xfrm>
                    <a:prstGeom prst="rect">
                      <a:avLst/>
                    </a:prstGeom>
                    <a:noFill/>
                    <a:ln>
                      <a:noFill/>
                    </a:ln>
                  </pic:spPr>
                </pic:pic>
              </a:graphicData>
            </a:graphic>
          </wp:inline>
        </w:drawing>
      </w:r>
    </w:p>
    <w:p w14:paraId="62EDECD0" w14:textId="308FA91A" w:rsidR="00B47F66" w:rsidRDefault="00643E57" w:rsidP="00943E1F">
      <w:pPr>
        <w:spacing w:after="0" w:line="240" w:lineRule="auto"/>
        <w:ind w:firstLine="708"/>
        <w:jc w:val="both"/>
        <w:outlineLvl w:val="0"/>
        <w:rPr>
          <w:rFonts w:ascii="Times New Roman" w:eastAsia="Times New Roman" w:hAnsi="Times New Roman" w:cs="Times New Roman"/>
          <w:bCs/>
          <w:sz w:val="24"/>
          <w:szCs w:val="24"/>
          <w:lang w:val="en-US"/>
        </w:rPr>
      </w:pPr>
      <w:r w:rsidRPr="0065659A">
        <w:rPr>
          <w:rFonts w:ascii="Times New Roman" w:eastAsia="Times New Roman" w:hAnsi="Times New Roman" w:cs="Times New Roman"/>
          <w:bCs/>
          <w:sz w:val="24"/>
          <w:szCs w:val="24"/>
        </w:rPr>
        <w:t xml:space="preserve">Графично извършените процедури и натовареността на балнеолечебния сектор и физиотерапевтичните звена </w:t>
      </w:r>
      <w:r w:rsidR="00E1591E" w:rsidRPr="0065659A">
        <w:rPr>
          <w:rFonts w:ascii="Times New Roman" w:eastAsia="Times New Roman" w:hAnsi="Times New Roman" w:cs="Times New Roman"/>
          <w:bCs/>
          <w:sz w:val="24"/>
          <w:szCs w:val="24"/>
        </w:rPr>
        <w:t>спрямо същия период на 202</w:t>
      </w:r>
      <w:r w:rsidR="00E1591E" w:rsidRPr="0065659A">
        <w:rPr>
          <w:rFonts w:ascii="Times New Roman" w:eastAsia="Times New Roman" w:hAnsi="Times New Roman" w:cs="Times New Roman"/>
          <w:bCs/>
          <w:sz w:val="24"/>
          <w:szCs w:val="24"/>
          <w:lang w:val="en-US"/>
        </w:rPr>
        <w:t>3</w:t>
      </w:r>
      <w:r w:rsidR="00E1591E" w:rsidRPr="0065659A">
        <w:rPr>
          <w:rFonts w:ascii="Times New Roman" w:eastAsia="Times New Roman" w:hAnsi="Times New Roman" w:cs="Times New Roman"/>
          <w:bCs/>
          <w:sz w:val="24"/>
          <w:szCs w:val="24"/>
        </w:rPr>
        <w:t> г.</w:t>
      </w:r>
      <w:r w:rsidR="00E1591E">
        <w:rPr>
          <w:rFonts w:ascii="Times New Roman" w:eastAsia="Times New Roman" w:hAnsi="Times New Roman" w:cs="Times New Roman"/>
          <w:bCs/>
          <w:sz w:val="24"/>
          <w:szCs w:val="24"/>
        </w:rPr>
        <w:t xml:space="preserve"> </w:t>
      </w:r>
      <w:r w:rsidR="008838B5">
        <w:rPr>
          <w:rFonts w:ascii="Times New Roman" w:eastAsia="Times New Roman" w:hAnsi="Times New Roman" w:cs="Times New Roman"/>
          <w:bCs/>
          <w:sz w:val="24"/>
          <w:szCs w:val="24"/>
        </w:rPr>
        <w:t>е представен в следващата графика.</w:t>
      </w:r>
      <w:r w:rsidR="00943E1F" w:rsidRPr="0065659A">
        <w:rPr>
          <w:rFonts w:ascii="Times New Roman" w:eastAsia="Times New Roman" w:hAnsi="Times New Roman" w:cs="Times New Roman"/>
          <w:bCs/>
          <w:sz w:val="24"/>
          <w:szCs w:val="24"/>
        </w:rPr>
        <w:t xml:space="preserve"> </w:t>
      </w:r>
    </w:p>
    <w:p w14:paraId="769732A4" w14:textId="77777777" w:rsidR="0045536A" w:rsidRPr="0045536A" w:rsidRDefault="0045536A" w:rsidP="00943E1F">
      <w:pPr>
        <w:spacing w:after="0" w:line="240" w:lineRule="auto"/>
        <w:ind w:firstLine="708"/>
        <w:jc w:val="both"/>
        <w:outlineLvl w:val="0"/>
        <w:rPr>
          <w:rFonts w:ascii="Times New Roman" w:eastAsia="Times New Roman" w:hAnsi="Times New Roman" w:cs="Times New Roman"/>
          <w:bCs/>
          <w:sz w:val="24"/>
          <w:szCs w:val="24"/>
          <w:lang w:val="en-US"/>
        </w:rPr>
      </w:pPr>
    </w:p>
    <w:p w14:paraId="25D41C69" w14:textId="4E991976" w:rsidR="00BA277C" w:rsidRPr="00C86A32" w:rsidRDefault="008838B5" w:rsidP="00C545D4">
      <w:pPr>
        <w:spacing w:after="0" w:line="240" w:lineRule="auto"/>
        <w:jc w:val="center"/>
        <w:outlineLvl w:val="0"/>
        <w:rPr>
          <w:rFonts w:ascii="Times New Roman" w:eastAsia="Times New Roman" w:hAnsi="Times New Roman" w:cs="Times New Roman"/>
          <w:bCs/>
          <w:sz w:val="24"/>
          <w:szCs w:val="24"/>
          <w:lang w:val="en-US"/>
        </w:rPr>
      </w:pPr>
      <w:r w:rsidRPr="00C86A32">
        <w:rPr>
          <w:rFonts w:ascii="Times New Roman" w:eastAsia="Times New Roman" w:hAnsi="Times New Roman" w:cs="Times New Roman"/>
          <w:bCs/>
          <w:noProof/>
          <w:sz w:val="24"/>
          <w:szCs w:val="24"/>
          <w:lang w:val="en-US"/>
        </w:rPr>
        <w:drawing>
          <wp:inline distT="0" distB="0" distL="0" distR="0" wp14:anchorId="00237527" wp14:editId="3184CC29">
            <wp:extent cx="5239909" cy="2377756"/>
            <wp:effectExtent l="0" t="0" r="0" b="3810"/>
            <wp:docPr id="172347201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8390" cy="2386142"/>
                    </a:xfrm>
                    <a:prstGeom prst="rect">
                      <a:avLst/>
                    </a:prstGeom>
                    <a:noFill/>
                  </pic:spPr>
                </pic:pic>
              </a:graphicData>
            </a:graphic>
          </wp:inline>
        </w:drawing>
      </w:r>
    </w:p>
    <w:p w14:paraId="4DCC8489" w14:textId="77777777" w:rsidR="0045536A" w:rsidRDefault="0045536A" w:rsidP="00943E1F">
      <w:pPr>
        <w:spacing w:after="0" w:line="240" w:lineRule="auto"/>
        <w:ind w:firstLine="708"/>
        <w:jc w:val="both"/>
        <w:outlineLvl w:val="0"/>
        <w:rPr>
          <w:rFonts w:ascii="Times New Roman" w:eastAsia="Times New Roman" w:hAnsi="Times New Roman" w:cs="Times New Roman"/>
          <w:bCs/>
          <w:sz w:val="24"/>
          <w:szCs w:val="24"/>
          <w:highlight w:val="yellow"/>
          <w:lang w:val="en-US"/>
        </w:rPr>
      </w:pPr>
    </w:p>
    <w:p w14:paraId="3C966659" w14:textId="5D0C0052" w:rsidR="002A74EA" w:rsidRPr="002A74EA" w:rsidRDefault="002A74EA" w:rsidP="002A74EA">
      <w:pPr>
        <w:spacing w:after="0" w:line="240" w:lineRule="auto"/>
        <w:ind w:firstLine="708"/>
        <w:jc w:val="both"/>
        <w:outlineLvl w:val="0"/>
        <w:rPr>
          <w:rFonts w:ascii="Times New Roman" w:eastAsia="Times New Roman" w:hAnsi="Times New Roman" w:cs="Times New Roman"/>
          <w:bCs/>
          <w:sz w:val="24"/>
          <w:szCs w:val="24"/>
        </w:rPr>
      </w:pPr>
      <w:r w:rsidRPr="002A74EA">
        <w:rPr>
          <w:rFonts w:ascii="Times New Roman" w:eastAsia="Times New Roman" w:hAnsi="Times New Roman" w:cs="Times New Roman"/>
          <w:bCs/>
          <w:sz w:val="24"/>
          <w:szCs w:val="24"/>
        </w:rPr>
        <w:t>От сведенията за прием на пациенти и извършени процедури се вижда, че има намаление спрямо съответния период от предходната година, което се дължи най-вече</w:t>
      </w:r>
      <w:r w:rsidR="00E96747">
        <w:rPr>
          <w:rFonts w:ascii="Times New Roman" w:eastAsia="Times New Roman" w:hAnsi="Times New Roman" w:cs="Times New Roman"/>
          <w:bCs/>
          <w:sz w:val="24"/>
          <w:szCs w:val="24"/>
        </w:rPr>
        <w:t xml:space="preserve"> на факта</w:t>
      </w:r>
      <w:r w:rsidRPr="002A74EA">
        <w:rPr>
          <w:rFonts w:ascii="Times New Roman" w:eastAsia="Times New Roman" w:hAnsi="Times New Roman" w:cs="Times New Roman"/>
          <w:bCs/>
          <w:sz w:val="24"/>
          <w:szCs w:val="24"/>
        </w:rPr>
        <w:t>, че в са преминали по-малко</w:t>
      </w:r>
      <w:r w:rsidR="008838B5" w:rsidRPr="008838B5">
        <w:rPr>
          <w:rFonts w:ascii="Times New Roman" w:eastAsia="Times New Roman" w:hAnsi="Times New Roman" w:cs="Times New Roman"/>
          <w:bCs/>
          <w:sz w:val="24"/>
          <w:szCs w:val="24"/>
        </w:rPr>
        <w:t xml:space="preserve"> </w:t>
      </w:r>
      <w:r w:rsidR="008838B5" w:rsidRPr="002A74EA">
        <w:rPr>
          <w:rFonts w:ascii="Times New Roman" w:eastAsia="Times New Roman" w:hAnsi="Times New Roman" w:cs="Times New Roman"/>
          <w:bCs/>
          <w:sz w:val="24"/>
          <w:szCs w:val="24"/>
        </w:rPr>
        <w:t>пациент</w:t>
      </w:r>
      <w:r w:rsidR="008838B5">
        <w:rPr>
          <w:rFonts w:ascii="Times New Roman" w:eastAsia="Times New Roman" w:hAnsi="Times New Roman" w:cs="Times New Roman"/>
          <w:bCs/>
          <w:sz w:val="24"/>
          <w:szCs w:val="24"/>
        </w:rPr>
        <w:t>и</w:t>
      </w:r>
      <w:r w:rsidRPr="002A74EA">
        <w:rPr>
          <w:rFonts w:ascii="Times New Roman" w:eastAsia="Times New Roman" w:hAnsi="Times New Roman" w:cs="Times New Roman"/>
          <w:bCs/>
          <w:sz w:val="24"/>
          <w:szCs w:val="24"/>
        </w:rPr>
        <w:t>.</w:t>
      </w:r>
    </w:p>
    <w:p w14:paraId="70E128F7" w14:textId="5E2461AB" w:rsidR="002A74EA" w:rsidRPr="002A74EA" w:rsidRDefault="002A74EA" w:rsidP="002A74EA">
      <w:pPr>
        <w:spacing w:after="0" w:line="240" w:lineRule="auto"/>
        <w:ind w:firstLine="708"/>
        <w:jc w:val="both"/>
        <w:outlineLvl w:val="0"/>
        <w:rPr>
          <w:rFonts w:ascii="Times New Roman" w:eastAsia="Times New Roman" w:hAnsi="Times New Roman" w:cs="Times New Roman"/>
          <w:bCs/>
          <w:sz w:val="24"/>
          <w:szCs w:val="24"/>
        </w:rPr>
      </w:pPr>
      <w:r w:rsidRPr="002A74EA">
        <w:rPr>
          <w:rFonts w:ascii="Times New Roman" w:eastAsia="Times New Roman" w:hAnsi="Times New Roman" w:cs="Times New Roman"/>
          <w:bCs/>
          <w:sz w:val="24"/>
          <w:szCs w:val="24"/>
        </w:rPr>
        <w:t>В процеса на работа значително се наблегна на управленския процес, който е немислим без организация на контрола, за изпълнението и оценка на дейността. Контролът и оценката на дейността, от своя страна трябва да определят критичната точка – равнище на количествените параметри на ефективността, което налага автоматично да започне изпълнение на разработените стратегически и оперативен план. На практика, достигането на критичната точка, по-често води до приемането на временни мерки за преодоляване на затруднението, докато се изработят алтернативните варианти. Изборът на най-доброто решение става по класически процедури според стойността на реализацията му, неговата ефективност, разкриването на негативните взаимосвързани явления.</w:t>
      </w:r>
    </w:p>
    <w:p w14:paraId="08ED7442" w14:textId="4F49900C" w:rsidR="002A74EA" w:rsidRPr="002A74EA" w:rsidRDefault="002A74EA" w:rsidP="002A74EA">
      <w:pPr>
        <w:spacing w:after="0" w:line="240" w:lineRule="auto"/>
        <w:ind w:firstLine="708"/>
        <w:jc w:val="both"/>
        <w:outlineLvl w:val="0"/>
        <w:rPr>
          <w:rFonts w:ascii="Times New Roman" w:eastAsia="Times New Roman" w:hAnsi="Times New Roman" w:cs="Times New Roman"/>
          <w:bCs/>
          <w:sz w:val="24"/>
          <w:szCs w:val="24"/>
        </w:rPr>
      </w:pPr>
      <w:r w:rsidRPr="002A74EA">
        <w:rPr>
          <w:rFonts w:ascii="Times New Roman" w:eastAsia="Times New Roman" w:hAnsi="Times New Roman" w:cs="Times New Roman"/>
          <w:bCs/>
          <w:sz w:val="24"/>
          <w:szCs w:val="24"/>
        </w:rPr>
        <w:t>Усложняване на взаимоотношенията между отделните оперативни звена, чрез функциите по контрол и оценка, са присъщ елемент на ефективното управление на болницата. Тогава управленския екип ще има възможност:</w:t>
      </w:r>
    </w:p>
    <w:p w14:paraId="1891CA71" w14:textId="1F1F318B" w:rsidR="002A74EA" w:rsidRPr="002A74EA" w:rsidRDefault="002A74EA" w:rsidP="002A74EA">
      <w:pPr>
        <w:spacing w:after="0" w:line="240" w:lineRule="auto"/>
        <w:ind w:firstLine="708"/>
        <w:jc w:val="both"/>
        <w:outlineLvl w:val="0"/>
        <w:rPr>
          <w:rFonts w:ascii="Times New Roman" w:eastAsia="Times New Roman" w:hAnsi="Times New Roman" w:cs="Times New Roman"/>
          <w:bCs/>
          <w:sz w:val="24"/>
          <w:szCs w:val="24"/>
        </w:rPr>
      </w:pPr>
      <w:r w:rsidRPr="002A74EA">
        <w:rPr>
          <w:rFonts w:ascii="Times New Roman" w:eastAsia="Times New Roman" w:hAnsi="Times New Roman" w:cs="Times New Roman"/>
          <w:bCs/>
          <w:sz w:val="24"/>
          <w:szCs w:val="24"/>
        </w:rPr>
        <w:lastRenderedPageBreak/>
        <w:t xml:space="preserve">- </w:t>
      </w:r>
      <w:r w:rsidR="00E96747" w:rsidRPr="002A74EA">
        <w:rPr>
          <w:rFonts w:ascii="Times New Roman" w:eastAsia="Times New Roman" w:hAnsi="Times New Roman" w:cs="Times New Roman"/>
          <w:bCs/>
          <w:sz w:val="24"/>
          <w:szCs w:val="24"/>
        </w:rPr>
        <w:t xml:space="preserve">да </w:t>
      </w:r>
      <w:r w:rsidRPr="002A74EA">
        <w:rPr>
          <w:rFonts w:ascii="Times New Roman" w:eastAsia="Times New Roman" w:hAnsi="Times New Roman" w:cs="Times New Roman"/>
          <w:bCs/>
          <w:sz w:val="24"/>
          <w:szCs w:val="24"/>
        </w:rPr>
        <w:t>адаптира работния план към настъпилите промени в него;</w:t>
      </w:r>
    </w:p>
    <w:p w14:paraId="2C1008F3" w14:textId="7739D8EF" w:rsidR="002A74EA" w:rsidRPr="002A74EA" w:rsidRDefault="002A74EA" w:rsidP="002A74EA">
      <w:pPr>
        <w:spacing w:after="0" w:line="240" w:lineRule="auto"/>
        <w:ind w:firstLine="708"/>
        <w:jc w:val="both"/>
        <w:outlineLvl w:val="0"/>
        <w:rPr>
          <w:rFonts w:ascii="Times New Roman" w:eastAsia="Times New Roman" w:hAnsi="Times New Roman" w:cs="Times New Roman"/>
          <w:bCs/>
          <w:sz w:val="24"/>
          <w:szCs w:val="24"/>
        </w:rPr>
      </w:pPr>
      <w:r w:rsidRPr="002A74EA">
        <w:rPr>
          <w:rFonts w:ascii="Times New Roman" w:eastAsia="Times New Roman" w:hAnsi="Times New Roman" w:cs="Times New Roman"/>
          <w:bCs/>
          <w:sz w:val="24"/>
          <w:szCs w:val="24"/>
        </w:rPr>
        <w:t xml:space="preserve">- </w:t>
      </w:r>
      <w:r w:rsidR="00E96747" w:rsidRPr="002A74EA">
        <w:rPr>
          <w:rFonts w:ascii="Times New Roman" w:eastAsia="Times New Roman" w:hAnsi="Times New Roman" w:cs="Times New Roman"/>
          <w:bCs/>
          <w:sz w:val="24"/>
          <w:szCs w:val="24"/>
        </w:rPr>
        <w:t xml:space="preserve">да </w:t>
      </w:r>
      <w:r w:rsidRPr="002A74EA">
        <w:rPr>
          <w:rFonts w:ascii="Times New Roman" w:eastAsia="Times New Roman" w:hAnsi="Times New Roman" w:cs="Times New Roman"/>
          <w:bCs/>
          <w:sz w:val="24"/>
          <w:szCs w:val="24"/>
        </w:rPr>
        <w:t>установи представяне противоположно на принципите и целите на болницата;</w:t>
      </w:r>
    </w:p>
    <w:p w14:paraId="7E341915" w14:textId="01444A3B" w:rsidR="002A74EA" w:rsidRPr="002A74EA" w:rsidRDefault="002A74EA" w:rsidP="002A74EA">
      <w:pPr>
        <w:spacing w:after="0" w:line="240" w:lineRule="auto"/>
        <w:ind w:firstLine="708"/>
        <w:jc w:val="both"/>
        <w:outlineLvl w:val="0"/>
        <w:rPr>
          <w:rFonts w:ascii="Times New Roman" w:eastAsia="Times New Roman" w:hAnsi="Times New Roman" w:cs="Times New Roman"/>
          <w:bCs/>
          <w:sz w:val="24"/>
          <w:szCs w:val="24"/>
        </w:rPr>
      </w:pPr>
      <w:r w:rsidRPr="002A74EA">
        <w:rPr>
          <w:rFonts w:ascii="Times New Roman" w:eastAsia="Times New Roman" w:hAnsi="Times New Roman" w:cs="Times New Roman"/>
          <w:bCs/>
          <w:sz w:val="24"/>
          <w:szCs w:val="24"/>
        </w:rPr>
        <w:t xml:space="preserve"> - </w:t>
      </w:r>
      <w:r w:rsidR="00E96747" w:rsidRPr="002A74EA">
        <w:rPr>
          <w:rFonts w:ascii="Times New Roman" w:eastAsia="Times New Roman" w:hAnsi="Times New Roman" w:cs="Times New Roman"/>
          <w:bCs/>
          <w:sz w:val="24"/>
          <w:szCs w:val="24"/>
        </w:rPr>
        <w:t xml:space="preserve">да </w:t>
      </w:r>
      <w:r w:rsidRPr="002A74EA">
        <w:rPr>
          <w:rFonts w:ascii="Times New Roman" w:eastAsia="Times New Roman" w:hAnsi="Times New Roman" w:cs="Times New Roman"/>
          <w:bCs/>
          <w:sz w:val="24"/>
          <w:szCs w:val="24"/>
        </w:rPr>
        <w:t xml:space="preserve">изиска обяснение и обосновка на причините за отклонение от целите на болницата; </w:t>
      </w:r>
    </w:p>
    <w:p w14:paraId="3ADA37C9" w14:textId="33E06139" w:rsidR="007D066E" w:rsidRPr="000837AE" w:rsidRDefault="002A74EA" w:rsidP="002A74EA">
      <w:pPr>
        <w:spacing w:after="0" w:line="240" w:lineRule="auto"/>
        <w:ind w:firstLine="708"/>
        <w:jc w:val="both"/>
        <w:outlineLvl w:val="0"/>
        <w:rPr>
          <w:rFonts w:ascii="Times New Roman" w:eastAsia="Times New Roman" w:hAnsi="Times New Roman" w:cs="Times New Roman"/>
          <w:bCs/>
          <w:sz w:val="24"/>
          <w:szCs w:val="24"/>
        </w:rPr>
      </w:pPr>
      <w:r w:rsidRPr="002A74EA">
        <w:rPr>
          <w:rFonts w:ascii="Times New Roman" w:eastAsia="Times New Roman" w:hAnsi="Times New Roman" w:cs="Times New Roman"/>
          <w:bCs/>
          <w:sz w:val="24"/>
          <w:szCs w:val="24"/>
        </w:rPr>
        <w:t xml:space="preserve"> - </w:t>
      </w:r>
      <w:r w:rsidR="00E96747" w:rsidRPr="002A74EA">
        <w:rPr>
          <w:rFonts w:ascii="Times New Roman" w:eastAsia="Times New Roman" w:hAnsi="Times New Roman" w:cs="Times New Roman"/>
          <w:bCs/>
          <w:sz w:val="24"/>
          <w:szCs w:val="24"/>
        </w:rPr>
        <w:t xml:space="preserve">да </w:t>
      </w:r>
      <w:r w:rsidRPr="002A74EA">
        <w:rPr>
          <w:rFonts w:ascii="Times New Roman" w:eastAsia="Times New Roman" w:hAnsi="Times New Roman" w:cs="Times New Roman"/>
          <w:bCs/>
          <w:sz w:val="24"/>
          <w:szCs w:val="24"/>
        </w:rPr>
        <w:t>предприема мерки за преодоляване на възникнали неблагоприятни обстоятелства.</w:t>
      </w:r>
    </w:p>
    <w:p w14:paraId="2AB65663" w14:textId="4E94990F" w:rsidR="00A16894" w:rsidRPr="000837AE" w:rsidRDefault="00A16894" w:rsidP="008E4056">
      <w:pPr>
        <w:spacing w:after="0" w:line="240" w:lineRule="auto"/>
        <w:ind w:firstLine="708"/>
        <w:jc w:val="both"/>
        <w:outlineLvl w:val="0"/>
        <w:rPr>
          <w:rFonts w:ascii="Times New Roman" w:eastAsia="Times New Roman" w:hAnsi="Times New Roman" w:cs="Times New Roman"/>
          <w:bCs/>
          <w:sz w:val="24"/>
          <w:szCs w:val="24"/>
        </w:rPr>
      </w:pPr>
    </w:p>
    <w:p w14:paraId="2A606884" w14:textId="54FDC0A3" w:rsidR="00A16894" w:rsidRPr="000837AE" w:rsidRDefault="00A16894" w:rsidP="00BA277C">
      <w:pPr>
        <w:pStyle w:val="a5"/>
        <w:keepNext/>
        <w:numPr>
          <w:ilvl w:val="0"/>
          <w:numId w:val="19"/>
        </w:numPr>
        <w:spacing w:before="360"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ИЗПЪЛНЕНИЕ НА ИКОНОМИЧЕСКИТЕ ПОКАЗАТЕЛИ В ПРОГРАМАТА ЗА РАЗВИТИЕ НА </w:t>
      </w:r>
      <w:r w:rsidR="00BA277C" w:rsidRPr="00BA277C">
        <w:rPr>
          <w:rFonts w:ascii="Times New Roman" w:eastAsia="Times New Roman" w:hAnsi="Times New Roman" w:cs="Times New Roman"/>
          <w:b/>
          <w:bCs/>
          <w:sz w:val="24"/>
          <w:szCs w:val="24"/>
        </w:rPr>
        <w:t xml:space="preserve">СБР “СВЕТА БОГОРОДИЦА” ЕООД </w:t>
      </w:r>
    </w:p>
    <w:p w14:paraId="12F7EBF6" w14:textId="77777777" w:rsidR="00952D0C" w:rsidRPr="000837AE" w:rsidRDefault="00952D0C" w:rsidP="008B4EB4">
      <w:pPr>
        <w:keepNext/>
        <w:spacing w:after="0" w:line="240" w:lineRule="auto"/>
        <w:ind w:firstLine="708"/>
        <w:jc w:val="both"/>
        <w:outlineLvl w:val="0"/>
        <w:rPr>
          <w:rFonts w:ascii="Times New Roman" w:eastAsia="Times New Roman" w:hAnsi="Times New Roman" w:cs="Times New Roman"/>
          <w:bCs/>
          <w:sz w:val="24"/>
          <w:szCs w:val="24"/>
        </w:rPr>
      </w:pPr>
    </w:p>
    <w:p w14:paraId="33A67433" w14:textId="77AFF7AC"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СТРУКТУРА НА ПРИХОДИТЕ</w:t>
      </w:r>
    </w:p>
    <w:p w14:paraId="796E6500" w14:textId="77777777" w:rsidR="0092722F" w:rsidRDefault="0092722F" w:rsidP="008E4056">
      <w:pPr>
        <w:spacing w:after="0" w:line="240" w:lineRule="auto"/>
        <w:ind w:firstLine="708"/>
        <w:jc w:val="both"/>
        <w:outlineLvl w:val="0"/>
        <w:rPr>
          <w:rFonts w:ascii="Times New Roman" w:eastAsia="Times New Roman" w:hAnsi="Times New Roman" w:cs="Times New Roman"/>
          <w:bCs/>
          <w:sz w:val="24"/>
          <w:szCs w:val="24"/>
        </w:rPr>
      </w:pPr>
      <w:r w:rsidRPr="0092722F">
        <w:rPr>
          <w:rFonts w:ascii="Times New Roman" w:eastAsia="Times New Roman" w:hAnsi="Times New Roman" w:cs="Times New Roman"/>
          <w:bCs/>
          <w:sz w:val="24"/>
          <w:szCs w:val="24"/>
        </w:rPr>
        <w:t>Ограниченията на НЗОК в изплащането на извършената месечна дейност по клинични пътеки, както и отражението на кризата във всички сфери на обществения живот, доведоха до изграждането на такава мениджърска политика на дружеството и набелязване на такива антикризисни мерки, които да не позволят сриването на качеството на предлаганите медицински услуги. Необходимо бе да се изградят такива приоритети, които да позволят извършването на такива разходи, които да създадат възможност за нормално функциониране на болницата.</w:t>
      </w:r>
    </w:p>
    <w:p w14:paraId="5D60995F" w14:textId="77777777" w:rsidR="00E96747" w:rsidRDefault="00E96747" w:rsidP="008E4056">
      <w:pPr>
        <w:spacing w:after="0" w:line="240" w:lineRule="auto"/>
        <w:ind w:firstLine="708"/>
        <w:jc w:val="both"/>
        <w:outlineLvl w:val="0"/>
        <w:rPr>
          <w:rFonts w:ascii="Times New Roman" w:eastAsia="Times New Roman" w:hAnsi="Times New Roman" w:cs="Times New Roman"/>
          <w:bCs/>
          <w:sz w:val="24"/>
          <w:szCs w:val="24"/>
        </w:rPr>
      </w:pPr>
    </w:p>
    <w:p w14:paraId="4F9660A7" w14:textId="0488131F" w:rsidR="00A16894" w:rsidRDefault="00A16894"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Съгласно отчета за приходите и разходите за </w:t>
      </w:r>
      <w:r w:rsidR="00E1591E">
        <w:rPr>
          <w:rFonts w:ascii="Times New Roman" w:eastAsia="Times New Roman" w:hAnsi="Times New Roman" w:cs="Times New Roman"/>
          <w:bCs/>
          <w:sz w:val="24"/>
          <w:szCs w:val="24"/>
        </w:rPr>
        <w:t>деветмесечието</w:t>
      </w:r>
      <w:r w:rsidR="00C067CA"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на 202</w:t>
      </w:r>
      <w:r w:rsidR="00343875">
        <w:rPr>
          <w:rFonts w:ascii="Times New Roman" w:eastAsia="Times New Roman" w:hAnsi="Times New Roman" w:cs="Times New Roman"/>
          <w:bCs/>
          <w:sz w:val="24"/>
          <w:szCs w:val="24"/>
        </w:rPr>
        <w:t>4</w:t>
      </w:r>
      <w:r w:rsidR="00F0415A" w:rsidRPr="000837AE">
        <w:rPr>
          <w:rFonts w:ascii="Times New Roman" w:eastAsia="Times New Roman" w:hAnsi="Times New Roman" w:cs="Times New Roman"/>
          <w:bCs/>
          <w:sz w:val="24"/>
          <w:szCs w:val="24"/>
        </w:rPr>
        <w:t xml:space="preserve"> год. общо</w:t>
      </w:r>
      <w:r w:rsidRPr="000837AE">
        <w:rPr>
          <w:rFonts w:ascii="Times New Roman" w:eastAsia="Times New Roman" w:hAnsi="Times New Roman" w:cs="Times New Roman"/>
          <w:bCs/>
          <w:sz w:val="24"/>
          <w:szCs w:val="24"/>
        </w:rPr>
        <w:t xml:space="preserve"> приходите </w:t>
      </w:r>
      <w:r w:rsidRPr="00E96747">
        <w:rPr>
          <w:rFonts w:ascii="Times New Roman" w:eastAsia="Times New Roman" w:hAnsi="Times New Roman" w:cs="Times New Roman"/>
          <w:bCs/>
          <w:sz w:val="24"/>
          <w:szCs w:val="24"/>
        </w:rPr>
        <w:t xml:space="preserve">на </w:t>
      </w:r>
      <w:r w:rsidR="00F0415A" w:rsidRPr="00E96747">
        <w:rPr>
          <w:rFonts w:ascii="Times New Roman" w:eastAsia="Times New Roman" w:hAnsi="Times New Roman" w:cs="Times New Roman"/>
          <w:bCs/>
          <w:sz w:val="24"/>
          <w:szCs w:val="24"/>
        </w:rPr>
        <w:t xml:space="preserve">СБР „Света Богородица“ ЕООД </w:t>
      </w:r>
      <w:r w:rsidRPr="00E96747">
        <w:rPr>
          <w:rFonts w:ascii="Times New Roman" w:eastAsia="Times New Roman" w:hAnsi="Times New Roman" w:cs="Times New Roman"/>
          <w:bCs/>
          <w:sz w:val="24"/>
          <w:szCs w:val="24"/>
        </w:rPr>
        <w:t xml:space="preserve">възлизат на </w:t>
      </w:r>
      <w:r w:rsidR="00E96747" w:rsidRPr="00E96747">
        <w:rPr>
          <w:rFonts w:ascii="Times New Roman" w:eastAsia="Times New Roman" w:hAnsi="Times New Roman" w:cs="Times New Roman"/>
          <w:bCs/>
          <w:sz w:val="24"/>
          <w:szCs w:val="24"/>
        </w:rPr>
        <w:t>3</w:t>
      </w:r>
      <w:r w:rsidR="0008428B" w:rsidRPr="00E96747">
        <w:rPr>
          <w:rFonts w:ascii="Times New Roman" w:eastAsia="Times New Roman" w:hAnsi="Times New Roman" w:cs="Times New Roman"/>
          <w:bCs/>
          <w:sz w:val="24"/>
          <w:szCs w:val="24"/>
          <w:lang w:val="en-US"/>
        </w:rPr>
        <w:t> </w:t>
      </w:r>
      <w:r w:rsidR="00E96747" w:rsidRPr="00E96747">
        <w:rPr>
          <w:rFonts w:ascii="Times New Roman" w:eastAsia="Times New Roman" w:hAnsi="Times New Roman" w:cs="Times New Roman"/>
          <w:bCs/>
          <w:sz w:val="24"/>
          <w:szCs w:val="24"/>
        </w:rPr>
        <w:t>149</w:t>
      </w:r>
      <w:r w:rsidR="0065185F" w:rsidRPr="00E96747">
        <w:rPr>
          <w:rFonts w:ascii="Times New Roman" w:eastAsia="Times New Roman" w:hAnsi="Times New Roman" w:cs="Times New Roman"/>
          <w:bCs/>
          <w:sz w:val="24"/>
          <w:szCs w:val="24"/>
        </w:rPr>
        <w:t xml:space="preserve"> </w:t>
      </w:r>
      <w:r w:rsidRPr="00E96747">
        <w:rPr>
          <w:rFonts w:ascii="Times New Roman" w:eastAsia="Times New Roman" w:hAnsi="Times New Roman" w:cs="Times New Roman"/>
          <w:bCs/>
          <w:sz w:val="24"/>
          <w:szCs w:val="24"/>
        </w:rPr>
        <w:t>хил. лв</w:t>
      </w:r>
      <w:r w:rsidR="001650FB" w:rsidRPr="00E96747">
        <w:rPr>
          <w:rFonts w:ascii="Times New Roman" w:eastAsia="Times New Roman" w:hAnsi="Times New Roman" w:cs="Times New Roman"/>
          <w:bCs/>
          <w:sz w:val="24"/>
          <w:szCs w:val="24"/>
        </w:rPr>
        <w:t>.</w:t>
      </w:r>
      <w:r w:rsidRPr="00E96747">
        <w:rPr>
          <w:rFonts w:ascii="Times New Roman" w:eastAsia="Times New Roman" w:hAnsi="Times New Roman" w:cs="Times New Roman"/>
          <w:bCs/>
          <w:sz w:val="24"/>
          <w:szCs w:val="24"/>
        </w:rPr>
        <w:t xml:space="preserve">, което е с </w:t>
      </w:r>
      <w:r w:rsidR="00E96747" w:rsidRPr="00E96747">
        <w:rPr>
          <w:rFonts w:ascii="Times New Roman" w:eastAsia="Times New Roman" w:hAnsi="Times New Roman" w:cs="Times New Roman"/>
          <w:bCs/>
          <w:sz w:val="24"/>
          <w:szCs w:val="24"/>
        </w:rPr>
        <w:t>201</w:t>
      </w:r>
      <w:r w:rsidR="0065185F" w:rsidRPr="00E96747">
        <w:rPr>
          <w:rFonts w:ascii="Times New Roman" w:eastAsia="Times New Roman" w:hAnsi="Times New Roman" w:cs="Times New Roman"/>
          <w:bCs/>
          <w:sz w:val="24"/>
          <w:szCs w:val="24"/>
        </w:rPr>
        <w:t xml:space="preserve"> </w:t>
      </w:r>
      <w:r w:rsidRPr="00E96747">
        <w:rPr>
          <w:rFonts w:ascii="Times New Roman" w:eastAsia="Times New Roman" w:hAnsi="Times New Roman" w:cs="Times New Roman"/>
          <w:bCs/>
          <w:sz w:val="24"/>
          <w:szCs w:val="24"/>
        </w:rPr>
        <w:t>хил. лв. повече спрямо същия период на 202</w:t>
      </w:r>
      <w:r w:rsidR="00343875" w:rsidRPr="00E96747">
        <w:rPr>
          <w:rFonts w:ascii="Times New Roman" w:eastAsia="Times New Roman" w:hAnsi="Times New Roman" w:cs="Times New Roman"/>
          <w:bCs/>
          <w:sz w:val="24"/>
          <w:szCs w:val="24"/>
        </w:rPr>
        <w:t>3</w:t>
      </w:r>
      <w:r w:rsidRPr="00E96747">
        <w:rPr>
          <w:rFonts w:ascii="Times New Roman" w:eastAsia="Times New Roman" w:hAnsi="Times New Roman" w:cs="Times New Roman"/>
          <w:bCs/>
          <w:sz w:val="24"/>
          <w:szCs w:val="24"/>
        </w:rPr>
        <w:t xml:space="preserve"> година.</w:t>
      </w:r>
    </w:p>
    <w:p w14:paraId="3467FFFE" w14:textId="0E0F69A8" w:rsidR="0092722F" w:rsidRPr="008838B5" w:rsidRDefault="0092722F" w:rsidP="0092722F">
      <w:pPr>
        <w:spacing w:after="0" w:line="240" w:lineRule="auto"/>
        <w:ind w:firstLine="708"/>
        <w:jc w:val="both"/>
        <w:outlineLvl w:val="0"/>
        <w:rPr>
          <w:rFonts w:ascii="Times New Roman" w:eastAsia="Times New Roman" w:hAnsi="Times New Roman" w:cs="Times New Roman"/>
          <w:bCs/>
          <w:sz w:val="24"/>
          <w:szCs w:val="24"/>
        </w:rPr>
      </w:pPr>
      <w:r w:rsidRPr="008838B5">
        <w:rPr>
          <w:rFonts w:ascii="Times New Roman" w:eastAsia="Times New Roman" w:hAnsi="Times New Roman" w:cs="Times New Roman"/>
          <w:bCs/>
          <w:sz w:val="24"/>
          <w:szCs w:val="24"/>
        </w:rPr>
        <w:t>С Министерство на отбраната бе подписан договор за 202</w:t>
      </w:r>
      <w:r w:rsidR="00343875" w:rsidRPr="008838B5">
        <w:rPr>
          <w:rFonts w:ascii="Times New Roman" w:eastAsia="Times New Roman" w:hAnsi="Times New Roman" w:cs="Times New Roman"/>
          <w:bCs/>
          <w:sz w:val="24"/>
          <w:szCs w:val="24"/>
        </w:rPr>
        <w:t>4</w:t>
      </w:r>
      <w:r w:rsidRPr="008838B5">
        <w:rPr>
          <w:rFonts w:ascii="Times New Roman" w:eastAsia="Times New Roman" w:hAnsi="Times New Roman" w:cs="Times New Roman"/>
          <w:bCs/>
          <w:sz w:val="24"/>
          <w:szCs w:val="24"/>
        </w:rPr>
        <w:t xml:space="preserve"> год. за извършване на лечебна дейност и работейки по този договор ще се подобри приема, обслужването, профилактиката и рехабилитацията на контингента на МО по Закона за отбраната и Въоръжените сили и осигуряване на средства за поддържане в добро състояние на материалната база.</w:t>
      </w:r>
    </w:p>
    <w:p w14:paraId="7B992187" w14:textId="77777777" w:rsidR="001650FB" w:rsidRPr="000837AE" w:rsidRDefault="001650FB" w:rsidP="00181947">
      <w:pPr>
        <w:keepNext/>
        <w:spacing w:after="0" w:line="240" w:lineRule="auto"/>
        <w:ind w:left="7080" w:hanging="6938"/>
        <w:rPr>
          <w:rFonts w:ascii="Times New Roman" w:eastAsia="Times New Roman" w:hAnsi="Times New Roman" w:cs="Times New Roman"/>
          <w:b/>
          <w:bCs/>
          <w:iCs/>
          <w:sz w:val="24"/>
          <w:szCs w:val="24"/>
        </w:rPr>
      </w:pPr>
    </w:p>
    <w:p w14:paraId="200C6CAF" w14:textId="3ABEFB14" w:rsidR="00A16894" w:rsidRPr="00C545D4" w:rsidRDefault="00181947" w:rsidP="008838B5">
      <w:pPr>
        <w:keepNext/>
        <w:spacing w:after="0" w:line="240" w:lineRule="auto"/>
        <w:ind w:left="2410" w:hanging="1276"/>
        <w:rPr>
          <w:rFonts w:ascii="Times New Roman" w:eastAsia="Times New Roman" w:hAnsi="Times New Roman" w:cs="Times New Roman"/>
          <w:bCs/>
          <w:sz w:val="18"/>
          <w:szCs w:val="18"/>
        </w:rPr>
      </w:pPr>
      <w:r w:rsidRPr="006F3432">
        <w:rPr>
          <w:rFonts w:ascii="Times New Roman" w:eastAsia="Times New Roman" w:hAnsi="Times New Roman" w:cs="Times New Roman"/>
          <w:b/>
          <w:bCs/>
          <w:iCs/>
          <w:sz w:val="20"/>
          <w:szCs w:val="20"/>
        </w:rPr>
        <w:t xml:space="preserve">Таблица 3: </w:t>
      </w:r>
      <w:r w:rsidR="008838B5" w:rsidRPr="008838B5">
        <w:rPr>
          <w:rFonts w:ascii="Times New Roman" w:eastAsia="Times New Roman" w:hAnsi="Times New Roman" w:cs="Times New Roman"/>
          <w:i/>
          <w:sz w:val="24"/>
          <w:szCs w:val="24"/>
        </w:rPr>
        <w:t>Структура на приходите на СБР „Света Богородица“ ЕООД</w:t>
      </w:r>
      <w:r w:rsidR="008838B5">
        <w:rPr>
          <w:rFonts w:ascii="Times New Roman" w:eastAsia="Times New Roman" w:hAnsi="Times New Roman" w:cs="Times New Roman"/>
          <w:i/>
          <w:sz w:val="24"/>
          <w:szCs w:val="24"/>
        </w:rPr>
        <w:t xml:space="preserve"> </w:t>
      </w:r>
      <w:r w:rsidR="008838B5" w:rsidRPr="008838B5">
        <w:rPr>
          <w:rFonts w:ascii="Times New Roman" w:eastAsia="Times New Roman" w:hAnsi="Times New Roman" w:cs="Times New Roman"/>
          <w:i/>
          <w:sz w:val="24"/>
          <w:szCs w:val="24"/>
        </w:rPr>
        <w:t xml:space="preserve">и изпълнение спрямо плана </w:t>
      </w:r>
      <w:r w:rsidRPr="00C545D4">
        <w:rPr>
          <w:rFonts w:ascii="Times New Roman" w:eastAsia="Times New Roman" w:hAnsi="Times New Roman" w:cs="Times New Roman"/>
          <w:b/>
          <w:bCs/>
          <w:iCs/>
          <w:sz w:val="24"/>
          <w:szCs w:val="24"/>
        </w:rPr>
        <w:tab/>
      </w:r>
      <w:r w:rsidR="00C545D4">
        <w:rPr>
          <w:rFonts w:ascii="Times New Roman" w:eastAsia="Times New Roman" w:hAnsi="Times New Roman" w:cs="Times New Roman"/>
          <w:b/>
          <w:bCs/>
          <w:iCs/>
          <w:sz w:val="24"/>
          <w:szCs w:val="24"/>
          <w:lang w:val="en-US"/>
        </w:rPr>
        <w:tab/>
      </w:r>
      <w:r w:rsidR="008838B5">
        <w:rPr>
          <w:rFonts w:ascii="Times New Roman" w:eastAsia="Times New Roman" w:hAnsi="Times New Roman" w:cs="Times New Roman"/>
          <w:b/>
          <w:bCs/>
          <w:iCs/>
          <w:sz w:val="24"/>
          <w:szCs w:val="24"/>
        </w:rPr>
        <w:tab/>
      </w:r>
      <w:r w:rsidR="008838B5">
        <w:rPr>
          <w:rFonts w:ascii="Times New Roman" w:eastAsia="Times New Roman" w:hAnsi="Times New Roman" w:cs="Times New Roman"/>
          <w:b/>
          <w:bCs/>
          <w:iCs/>
          <w:sz w:val="24"/>
          <w:szCs w:val="24"/>
        </w:rPr>
        <w:tab/>
      </w:r>
      <w:r w:rsidR="00E40FAA" w:rsidRPr="00C545D4">
        <w:rPr>
          <w:rFonts w:ascii="Times New Roman" w:eastAsia="Times New Roman" w:hAnsi="Times New Roman" w:cs="Times New Roman"/>
          <w:bCs/>
          <w:sz w:val="18"/>
          <w:szCs w:val="18"/>
        </w:rPr>
        <w:t>(</w:t>
      </w:r>
      <w:r w:rsidR="00A16894" w:rsidRPr="00C545D4">
        <w:rPr>
          <w:rFonts w:ascii="Times New Roman" w:eastAsia="Times New Roman" w:hAnsi="Times New Roman" w:cs="Times New Roman"/>
          <w:bCs/>
          <w:sz w:val="18"/>
          <w:szCs w:val="18"/>
        </w:rPr>
        <w:t xml:space="preserve"> в хил. лв.</w:t>
      </w:r>
      <w:r w:rsidR="00E40FAA" w:rsidRPr="00C545D4">
        <w:rPr>
          <w:rFonts w:ascii="Times New Roman" w:eastAsia="Times New Roman" w:hAnsi="Times New Roman" w:cs="Times New Roman"/>
          <w:bCs/>
          <w:sz w:val="18"/>
          <w:szCs w:val="18"/>
        </w:rPr>
        <w:t>, %)</w:t>
      </w:r>
    </w:p>
    <w:p w14:paraId="1E6CBCE2" w14:textId="1529AD91" w:rsidR="009B6C3E" w:rsidRDefault="00C545D4" w:rsidP="009B6C3E">
      <w:pPr>
        <w:spacing w:after="0" w:line="240" w:lineRule="auto"/>
        <w:ind w:left="7082" w:hanging="7082"/>
        <w:jc w:val="center"/>
        <w:rPr>
          <w:rFonts w:ascii="Times New Roman" w:eastAsia="Times New Roman" w:hAnsi="Times New Roman" w:cs="Times New Roman"/>
          <w:bCs/>
          <w:sz w:val="24"/>
          <w:szCs w:val="24"/>
        </w:rPr>
      </w:pPr>
      <w:r w:rsidRPr="00C545D4">
        <w:rPr>
          <w:noProof/>
        </w:rPr>
        <w:drawing>
          <wp:inline distT="0" distB="0" distL="0" distR="0" wp14:anchorId="66471661" wp14:editId="11AC3F2A">
            <wp:extent cx="5029200" cy="1529810"/>
            <wp:effectExtent l="0" t="0" r="0" b="0"/>
            <wp:docPr id="40252562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9729" cy="1539097"/>
                    </a:xfrm>
                    <a:prstGeom prst="rect">
                      <a:avLst/>
                    </a:prstGeom>
                    <a:noFill/>
                    <a:ln>
                      <a:noFill/>
                    </a:ln>
                  </pic:spPr>
                </pic:pic>
              </a:graphicData>
            </a:graphic>
          </wp:inline>
        </w:drawing>
      </w:r>
    </w:p>
    <w:p w14:paraId="2F272CD2" w14:textId="77777777" w:rsidR="00EA2051" w:rsidRPr="009B6C3E" w:rsidRDefault="00EA2051" w:rsidP="009B6C3E">
      <w:pPr>
        <w:spacing w:after="0" w:line="240" w:lineRule="auto"/>
        <w:ind w:left="7082" w:hanging="7082"/>
        <w:jc w:val="center"/>
        <w:rPr>
          <w:rFonts w:ascii="Times New Roman" w:eastAsia="Times New Roman" w:hAnsi="Times New Roman" w:cs="Times New Roman"/>
          <w:bCs/>
          <w:sz w:val="24"/>
          <w:szCs w:val="24"/>
        </w:rPr>
      </w:pPr>
    </w:p>
    <w:p w14:paraId="12E43299" w14:textId="77777777" w:rsidR="00C545D4" w:rsidRPr="00C545D4" w:rsidRDefault="00C545D4" w:rsidP="00C545D4">
      <w:pPr>
        <w:spacing w:after="0" w:line="240" w:lineRule="auto"/>
        <w:ind w:firstLine="708"/>
        <w:jc w:val="both"/>
        <w:outlineLvl w:val="0"/>
        <w:rPr>
          <w:rFonts w:ascii="Times New Roman" w:eastAsia="Times New Roman" w:hAnsi="Times New Roman" w:cs="Times New Roman"/>
          <w:bCs/>
          <w:sz w:val="24"/>
          <w:szCs w:val="24"/>
        </w:rPr>
      </w:pPr>
      <w:r w:rsidRPr="00C545D4">
        <w:rPr>
          <w:rFonts w:ascii="Times New Roman" w:eastAsia="Times New Roman" w:hAnsi="Times New Roman" w:cs="Times New Roman"/>
          <w:bCs/>
          <w:sz w:val="24"/>
          <w:szCs w:val="24"/>
        </w:rPr>
        <w:t>Най-голям е делът на приходите от прием по клинични пътеки, въпреки лимитирането.</w:t>
      </w:r>
    </w:p>
    <w:p w14:paraId="5775D865" w14:textId="05A36E4A" w:rsidR="00C545D4" w:rsidRPr="00C545D4" w:rsidRDefault="00C545D4" w:rsidP="00C545D4">
      <w:pPr>
        <w:spacing w:after="0" w:line="240" w:lineRule="auto"/>
        <w:ind w:firstLine="708"/>
        <w:jc w:val="both"/>
        <w:outlineLvl w:val="0"/>
        <w:rPr>
          <w:rFonts w:ascii="Times New Roman" w:eastAsia="Times New Roman" w:hAnsi="Times New Roman" w:cs="Times New Roman"/>
          <w:bCs/>
          <w:sz w:val="24"/>
          <w:szCs w:val="24"/>
        </w:rPr>
      </w:pPr>
      <w:r w:rsidRPr="00C545D4">
        <w:rPr>
          <w:rFonts w:ascii="Times New Roman" w:eastAsia="Times New Roman" w:hAnsi="Times New Roman" w:cs="Times New Roman"/>
          <w:bCs/>
          <w:sz w:val="24"/>
          <w:szCs w:val="24"/>
        </w:rPr>
        <w:t>Създадената организация в лечебното заведение, добрите отзиви от ефекта на лечението при пребиваването в СБР „Света Богородица” ни правят достатъчно търсени от пациенти от цялата страна, но краткия престой от 7 дни по клинични пътеки ускорява осезаемо динамиката на приеми и изписвания на пациенти и увеличава многократно обращаемостта на леглата в лечебното заведение. Това изисква подобряване на организацията на работата.</w:t>
      </w:r>
    </w:p>
    <w:p w14:paraId="75D5ED4F" w14:textId="07954C79" w:rsidR="00BA277C" w:rsidRPr="0092722F" w:rsidRDefault="00BA277C" w:rsidP="00BA277C">
      <w:pPr>
        <w:spacing w:after="0" w:line="240" w:lineRule="auto"/>
        <w:ind w:firstLine="708"/>
        <w:jc w:val="both"/>
        <w:outlineLvl w:val="0"/>
        <w:rPr>
          <w:rFonts w:ascii="Times New Roman" w:eastAsia="Times New Roman" w:hAnsi="Times New Roman" w:cs="Times New Roman"/>
          <w:bCs/>
          <w:sz w:val="24"/>
          <w:szCs w:val="24"/>
        </w:rPr>
      </w:pPr>
    </w:p>
    <w:p w14:paraId="46D723C9" w14:textId="77777777" w:rsidR="006165CF" w:rsidRPr="000837AE" w:rsidRDefault="006165CF" w:rsidP="006165CF">
      <w:pPr>
        <w:spacing w:after="0" w:line="240" w:lineRule="auto"/>
        <w:ind w:firstLine="708"/>
        <w:jc w:val="both"/>
        <w:outlineLvl w:val="0"/>
        <w:rPr>
          <w:rFonts w:ascii="Times New Roman" w:eastAsia="Times New Roman" w:hAnsi="Times New Roman" w:cs="Times New Roman"/>
          <w:bCs/>
          <w:sz w:val="24"/>
          <w:szCs w:val="24"/>
        </w:rPr>
      </w:pPr>
    </w:p>
    <w:p w14:paraId="082BAC67" w14:textId="63189FE7" w:rsidR="00A16894" w:rsidRDefault="00590F9E" w:rsidP="00C545D4">
      <w:pPr>
        <w:widowControl w:val="0"/>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w:drawing>
          <wp:inline distT="0" distB="0" distL="0" distR="0" wp14:anchorId="4A7768F3" wp14:editId="6800004E">
            <wp:extent cx="5052950" cy="2778539"/>
            <wp:effectExtent l="0" t="0" r="0" b="3175"/>
            <wp:docPr id="178497038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6962" cy="2786244"/>
                    </a:xfrm>
                    <a:prstGeom prst="rect">
                      <a:avLst/>
                    </a:prstGeom>
                    <a:noFill/>
                  </pic:spPr>
                </pic:pic>
              </a:graphicData>
            </a:graphic>
          </wp:inline>
        </w:drawing>
      </w:r>
    </w:p>
    <w:p w14:paraId="09169D8E" w14:textId="77777777" w:rsidR="00C545D4" w:rsidRDefault="00C545D4" w:rsidP="00C545D4">
      <w:pPr>
        <w:widowControl w:val="0"/>
        <w:spacing w:after="0" w:line="240" w:lineRule="auto"/>
        <w:jc w:val="center"/>
        <w:rPr>
          <w:rFonts w:ascii="Times New Roman" w:eastAsia="Times New Roman" w:hAnsi="Times New Roman" w:cs="Times New Roman"/>
          <w:bCs/>
          <w:sz w:val="28"/>
          <w:szCs w:val="28"/>
        </w:rPr>
      </w:pPr>
    </w:p>
    <w:p w14:paraId="2F75B808" w14:textId="77777777" w:rsidR="008838B5" w:rsidRPr="000837AE" w:rsidRDefault="008838B5" w:rsidP="00C545D4">
      <w:pPr>
        <w:widowControl w:val="0"/>
        <w:spacing w:after="0" w:line="240" w:lineRule="auto"/>
        <w:jc w:val="center"/>
        <w:rPr>
          <w:rFonts w:ascii="Times New Roman" w:eastAsia="Times New Roman" w:hAnsi="Times New Roman" w:cs="Times New Roman"/>
          <w:bCs/>
          <w:sz w:val="28"/>
          <w:szCs w:val="28"/>
        </w:rPr>
      </w:pPr>
    </w:p>
    <w:p w14:paraId="19546FE2" w14:textId="6ECEF390"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АНАЛИЗ НА РАЗХОДИТЕ</w:t>
      </w:r>
    </w:p>
    <w:p w14:paraId="16B71710" w14:textId="4D540841" w:rsidR="00AF032F" w:rsidRDefault="00A16894" w:rsidP="00D849BB">
      <w:pPr>
        <w:spacing w:after="0" w:line="240" w:lineRule="auto"/>
        <w:ind w:firstLine="708"/>
        <w:jc w:val="both"/>
        <w:outlineLvl w:val="0"/>
        <w:rPr>
          <w:rFonts w:ascii="Times New Roman" w:eastAsia="Times New Roman" w:hAnsi="Times New Roman" w:cs="Times New Roman"/>
          <w:bCs/>
          <w:sz w:val="24"/>
          <w:szCs w:val="24"/>
        </w:rPr>
      </w:pPr>
      <w:r w:rsidRPr="009F4CC4">
        <w:rPr>
          <w:rFonts w:ascii="Times New Roman" w:eastAsia="Times New Roman" w:hAnsi="Times New Roman" w:cs="Times New Roman"/>
          <w:bCs/>
          <w:sz w:val="24"/>
          <w:szCs w:val="24"/>
        </w:rPr>
        <w:t xml:space="preserve">Разходите за </w:t>
      </w:r>
      <w:r w:rsidR="00C067CA" w:rsidRPr="009F4CC4">
        <w:rPr>
          <w:rFonts w:ascii="Times New Roman" w:eastAsia="Times New Roman" w:hAnsi="Times New Roman" w:cs="Times New Roman"/>
          <w:bCs/>
          <w:sz w:val="24"/>
          <w:szCs w:val="24"/>
        </w:rPr>
        <w:t xml:space="preserve">отчетния период </w:t>
      </w:r>
      <w:r w:rsidRPr="009F4CC4">
        <w:rPr>
          <w:rFonts w:ascii="Times New Roman" w:eastAsia="Times New Roman" w:hAnsi="Times New Roman" w:cs="Times New Roman"/>
          <w:bCs/>
          <w:sz w:val="24"/>
          <w:szCs w:val="24"/>
        </w:rPr>
        <w:t xml:space="preserve">възлизат на </w:t>
      </w:r>
      <w:r w:rsidR="00C545D4" w:rsidRPr="00590F9E">
        <w:rPr>
          <w:rFonts w:ascii="Times New Roman" w:eastAsia="Times New Roman" w:hAnsi="Times New Roman" w:cs="Times New Roman"/>
          <w:bCs/>
          <w:sz w:val="24"/>
          <w:szCs w:val="24"/>
        </w:rPr>
        <w:t>3</w:t>
      </w:r>
      <w:r w:rsidR="00354283" w:rsidRPr="00590F9E">
        <w:rPr>
          <w:rFonts w:ascii="Times New Roman" w:eastAsia="Times New Roman" w:hAnsi="Times New Roman" w:cs="Times New Roman"/>
          <w:bCs/>
          <w:sz w:val="24"/>
          <w:szCs w:val="24"/>
        </w:rPr>
        <w:t> </w:t>
      </w:r>
      <w:r w:rsidR="00C545D4" w:rsidRPr="00590F9E">
        <w:rPr>
          <w:rFonts w:ascii="Times New Roman" w:eastAsia="Times New Roman" w:hAnsi="Times New Roman" w:cs="Times New Roman"/>
          <w:bCs/>
          <w:sz w:val="24"/>
          <w:szCs w:val="24"/>
        </w:rPr>
        <w:t>269</w:t>
      </w:r>
      <w:r w:rsidRPr="00590F9E">
        <w:rPr>
          <w:rFonts w:ascii="Times New Roman" w:eastAsia="Times New Roman" w:hAnsi="Times New Roman" w:cs="Times New Roman"/>
          <w:bCs/>
          <w:sz w:val="24"/>
          <w:szCs w:val="24"/>
        </w:rPr>
        <w:t xml:space="preserve"> хил. лв., което е с </w:t>
      </w:r>
      <w:r w:rsidR="00590F9E" w:rsidRPr="00590F9E">
        <w:rPr>
          <w:rFonts w:ascii="Times New Roman" w:eastAsia="Times New Roman" w:hAnsi="Times New Roman" w:cs="Times New Roman"/>
          <w:bCs/>
          <w:sz w:val="24"/>
          <w:szCs w:val="24"/>
        </w:rPr>
        <w:t>364</w:t>
      </w:r>
      <w:r w:rsidRPr="00590F9E">
        <w:rPr>
          <w:rFonts w:ascii="Times New Roman" w:eastAsia="Times New Roman" w:hAnsi="Times New Roman" w:cs="Times New Roman"/>
          <w:bCs/>
          <w:sz w:val="24"/>
          <w:szCs w:val="24"/>
        </w:rPr>
        <w:t xml:space="preserve"> хил. лв. по</w:t>
      </w:r>
      <w:r w:rsidR="00243BDC" w:rsidRPr="00590F9E">
        <w:rPr>
          <w:rFonts w:ascii="Times New Roman" w:eastAsia="Times New Roman" w:hAnsi="Times New Roman" w:cs="Times New Roman"/>
          <w:bCs/>
          <w:sz w:val="24"/>
          <w:szCs w:val="24"/>
        </w:rPr>
        <w:t>вече</w:t>
      </w:r>
      <w:r w:rsidRPr="00590F9E">
        <w:rPr>
          <w:rFonts w:ascii="Times New Roman" w:eastAsia="Times New Roman" w:hAnsi="Times New Roman" w:cs="Times New Roman"/>
          <w:bCs/>
          <w:sz w:val="24"/>
          <w:szCs w:val="24"/>
        </w:rPr>
        <w:t xml:space="preserve"> спрямо </w:t>
      </w:r>
      <w:r w:rsidR="00E1591E" w:rsidRPr="00590F9E">
        <w:rPr>
          <w:rFonts w:ascii="Times New Roman" w:eastAsia="Times New Roman" w:hAnsi="Times New Roman" w:cs="Times New Roman"/>
          <w:bCs/>
          <w:sz w:val="24"/>
          <w:szCs w:val="24"/>
        </w:rPr>
        <w:t>деветмесечието</w:t>
      </w:r>
      <w:r w:rsidRPr="00590F9E">
        <w:rPr>
          <w:rFonts w:ascii="Times New Roman" w:eastAsia="Times New Roman" w:hAnsi="Times New Roman" w:cs="Times New Roman"/>
          <w:bCs/>
          <w:sz w:val="24"/>
          <w:szCs w:val="24"/>
        </w:rPr>
        <w:t xml:space="preserve"> на 202</w:t>
      </w:r>
      <w:r w:rsidR="00EA2051" w:rsidRPr="00590F9E">
        <w:rPr>
          <w:rFonts w:ascii="Times New Roman" w:eastAsia="Times New Roman" w:hAnsi="Times New Roman" w:cs="Times New Roman"/>
          <w:bCs/>
          <w:sz w:val="24"/>
          <w:szCs w:val="24"/>
        </w:rPr>
        <w:t>3</w:t>
      </w:r>
      <w:r w:rsidRPr="00590F9E">
        <w:rPr>
          <w:rFonts w:ascii="Times New Roman" w:eastAsia="Times New Roman" w:hAnsi="Times New Roman" w:cs="Times New Roman"/>
          <w:bCs/>
          <w:sz w:val="24"/>
          <w:szCs w:val="24"/>
        </w:rPr>
        <w:t xml:space="preserve"> година</w:t>
      </w:r>
      <w:r w:rsidR="00243BDC" w:rsidRPr="00590F9E">
        <w:rPr>
          <w:rFonts w:ascii="Times New Roman" w:eastAsia="Times New Roman" w:hAnsi="Times New Roman" w:cs="Times New Roman"/>
          <w:bCs/>
          <w:sz w:val="24"/>
          <w:szCs w:val="24"/>
        </w:rPr>
        <w:t>.</w:t>
      </w:r>
      <w:r w:rsidR="00BF21C2" w:rsidRPr="000837AE">
        <w:rPr>
          <w:rFonts w:ascii="Times New Roman" w:eastAsia="Times New Roman" w:hAnsi="Times New Roman" w:cs="Times New Roman"/>
          <w:bCs/>
          <w:sz w:val="24"/>
          <w:szCs w:val="24"/>
        </w:rPr>
        <w:t xml:space="preserve"> </w:t>
      </w:r>
      <w:r w:rsidRPr="000837AE">
        <w:rPr>
          <w:rFonts w:ascii="Times New Roman" w:eastAsia="Times New Roman" w:hAnsi="Times New Roman" w:cs="Times New Roman"/>
          <w:bCs/>
          <w:sz w:val="24"/>
          <w:szCs w:val="24"/>
        </w:rPr>
        <w:t xml:space="preserve">Най-голям </w:t>
      </w:r>
      <w:r w:rsidR="00C067CA" w:rsidRPr="000837AE">
        <w:rPr>
          <w:rFonts w:ascii="Times New Roman" w:eastAsia="Times New Roman" w:hAnsi="Times New Roman" w:cs="Times New Roman"/>
          <w:bCs/>
          <w:sz w:val="24"/>
          <w:szCs w:val="24"/>
        </w:rPr>
        <w:t xml:space="preserve">е делът </w:t>
      </w:r>
      <w:r w:rsidRPr="000837AE">
        <w:rPr>
          <w:rFonts w:ascii="Times New Roman" w:eastAsia="Times New Roman" w:hAnsi="Times New Roman" w:cs="Times New Roman"/>
          <w:bCs/>
          <w:sz w:val="24"/>
          <w:szCs w:val="24"/>
        </w:rPr>
        <w:t xml:space="preserve">на разходите за персонал /разходи за </w:t>
      </w:r>
      <w:r w:rsidRPr="005232C1">
        <w:rPr>
          <w:rFonts w:ascii="Times New Roman" w:eastAsia="Times New Roman" w:hAnsi="Times New Roman" w:cs="Times New Roman"/>
          <w:bCs/>
          <w:sz w:val="24"/>
          <w:szCs w:val="24"/>
        </w:rPr>
        <w:t xml:space="preserve">възнаграждение и осигуровки/ - </w:t>
      </w:r>
      <w:r w:rsidR="00F104DE" w:rsidRPr="005232C1">
        <w:rPr>
          <w:rFonts w:ascii="Times New Roman" w:eastAsia="Times New Roman" w:hAnsi="Times New Roman" w:cs="Times New Roman"/>
          <w:bCs/>
          <w:sz w:val="24"/>
          <w:szCs w:val="24"/>
        </w:rPr>
        <w:t>1 </w:t>
      </w:r>
      <w:r w:rsidR="005232C1" w:rsidRPr="005232C1">
        <w:rPr>
          <w:rFonts w:ascii="Times New Roman" w:eastAsia="Times New Roman" w:hAnsi="Times New Roman" w:cs="Times New Roman"/>
          <w:bCs/>
          <w:sz w:val="24"/>
          <w:szCs w:val="24"/>
        </w:rPr>
        <w:t>970</w:t>
      </w:r>
      <w:r w:rsidRPr="005232C1">
        <w:rPr>
          <w:rFonts w:ascii="Times New Roman" w:eastAsia="Times New Roman" w:hAnsi="Times New Roman" w:cs="Times New Roman"/>
          <w:bCs/>
          <w:sz w:val="24"/>
          <w:szCs w:val="24"/>
        </w:rPr>
        <w:t xml:space="preserve"> хил. лв. </w:t>
      </w:r>
      <w:r w:rsidR="00F0415A" w:rsidRPr="005232C1">
        <w:rPr>
          <w:rFonts w:ascii="Times New Roman" w:eastAsia="Times New Roman" w:hAnsi="Times New Roman" w:cs="Times New Roman"/>
          <w:bCs/>
          <w:sz w:val="24"/>
          <w:szCs w:val="24"/>
        </w:rPr>
        <w:t>(</w:t>
      </w:r>
      <w:r w:rsidR="009F4CC4" w:rsidRPr="005232C1">
        <w:rPr>
          <w:rFonts w:ascii="Times New Roman" w:eastAsia="Times New Roman" w:hAnsi="Times New Roman" w:cs="Times New Roman"/>
          <w:bCs/>
          <w:sz w:val="24"/>
          <w:szCs w:val="24"/>
          <w:lang w:val="en-US"/>
        </w:rPr>
        <w:t>60</w:t>
      </w:r>
      <w:r w:rsidR="00F0415A" w:rsidRPr="005232C1">
        <w:rPr>
          <w:rFonts w:ascii="Times New Roman" w:eastAsia="Times New Roman" w:hAnsi="Times New Roman" w:cs="Times New Roman"/>
          <w:bCs/>
          <w:sz w:val="24"/>
          <w:szCs w:val="24"/>
        </w:rPr>
        <w:t>,</w:t>
      </w:r>
      <w:r w:rsidR="005232C1" w:rsidRPr="005232C1">
        <w:rPr>
          <w:rFonts w:ascii="Times New Roman" w:eastAsia="Times New Roman" w:hAnsi="Times New Roman" w:cs="Times New Roman"/>
          <w:bCs/>
          <w:sz w:val="24"/>
          <w:szCs w:val="24"/>
        </w:rPr>
        <w:t>26</w:t>
      </w:r>
      <w:r w:rsidR="00F0415A" w:rsidRPr="005232C1">
        <w:rPr>
          <w:rFonts w:ascii="Times New Roman" w:eastAsia="Times New Roman" w:hAnsi="Times New Roman" w:cs="Times New Roman"/>
          <w:bCs/>
          <w:sz w:val="24"/>
          <w:szCs w:val="24"/>
        </w:rPr>
        <w:t>% от всички разходи)</w:t>
      </w:r>
      <w:r w:rsidRPr="005232C1">
        <w:rPr>
          <w:rFonts w:ascii="Times New Roman" w:eastAsia="Times New Roman" w:hAnsi="Times New Roman" w:cs="Times New Roman"/>
          <w:bCs/>
          <w:sz w:val="24"/>
          <w:szCs w:val="24"/>
        </w:rPr>
        <w:t>.</w:t>
      </w:r>
      <w:r w:rsidRPr="000837AE">
        <w:rPr>
          <w:rFonts w:ascii="Times New Roman" w:eastAsia="Times New Roman" w:hAnsi="Times New Roman" w:cs="Times New Roman"/>
          <w:bCs/>
          <w:sz w:val="24"/>
          <w:szCs w:val="24"/>
        </w:rPr>
        <w:t xml:space="preserve"> </w:t>
      </w:r>
    </w:p>
    <w:p w14:paraId="0A8AFCB9" w14:textId="77777777" w:rsidR="00E01CFD" w:rsidRPr="000837AE" w:rsidRDefault="00E01CFD" w:rsidP="00D849BB">
      <w:pPr>
        <w:spacing w:after="0" w:line="240" w:lineRule="auto"/>
        <w:ind w:firstLine="708"/>
        <w:jc w:val="both"/>
        <w:outlineLvl w:val="0"/>
        <w:rPr>
          <w:rFonts w:ascii="Times New Roman" w:eastAsia="Times New Roman" w:hAnsi="Times New Roman" w:cs="Times New Roman"/>
          <w:bCs/>
          <w:sz w:val="24"/>
          <w:szCs w:val="24"/>
        </w:rPr>
      </w:pPr>
    </w:p>
    <w:p w14:paraId="550B0CB5" w14:textId="3587B5C5" w:rsidR="00D849BB" w:rsidRDefault="00D849BB" w:rsidP="008E4056">
      <w:pPr>
        <w:spacing w:after="0" w:line="240" w:lineRule="auto"/>
        <w:ind w:firstLine="708"/>
        <w:jc w:val="both"/>
        <w:outlineLvl w:val="0"/>
        <w:rPr>
          <w:rFonts w:ascii="Times New Roman" w:eastAsia="Times New Roman" w:hAnsi="Times New Roman" w:cs="Times New Roman"/>
          <w:bCs/>
          <w:sz w:val="24"/>
          <w:szCs w:val="24"/>
        </w:rPr>
      </w:pPr>
      <w:r w:rsidRPr="00872A2A">
        <w:rPr>
          <w:rFonts w:ascii="Times New Roman" w:eastAsia="Times New Roman" w:hAnsi="Times New Roman" w:cs="Times New Roman"/>
          <w:bCs/>
          <w:sz w:val="24"/>
          <w:szCs w:val="24"/>
        </w:rPr>
        <w:t xml:space="preserve">През периода </w:t>
      </w:r>
      <w:r w:rsidR="00233262" w:rsidRPr="00872A2A">
        <w:rPr>
          <w:rFonts w:ascii="Times New Roman" w:eastAsia="Times New Roman" w:hAnsi="Times New Roman" w:cs="Times New Roman"/>
          <w:bCs/>
          <w:sz w:val="24"/>
          <w:szCs w:val="24"/>
        </w:rPr>
        <w:t xml:space="preserve">СБР „Света Богородица“ ЕООД </w:t>
      </w:r>
      <w:r w:rsidR="00BA277C" w:rsidRPr="00872A2A">
        <w:rPr>
          <w:rFonts w:ascii="Times New Roman" w:eastAsia="Times New Roman" w:hAnsi="Times New Roman" w:cs="Times New Roman"/>
          <w:bCs/>
          <w:sz w:val="24"/>
          <w:szCs w:val="24"/>
        </w:rPr>
        <w:t>е работило</w:t>
      </w:r>
      <w:r w:rsidRPr="00872A2A">
        <w:rPr>
          <w:rFonts w:ascii="Times New Roman" w:eastAsia="Times New Roman" w:hAnsi="Times New Roman" w:cs="Times New Roman"/>
          <w:bCs/>
          <w:sz w:val="24"/>
          <w:szCs w:val="24"/>
        </w:rPr>
        <w:t xml:space="preserve"> с 8</w:t>
      </w:r>
      <w:r w:rsidR="009B6C3E" w:rsidRPr="00872A2A">
        <w:rPr>
          <w:rFonts w:ascii="Times New Roman" w:eastAsia="Times New Roman" w:hAnsi="Times New Roman" w:cs="Times New Roman"/>
          <w:bCs/>
          <w:sz w:val="24"/>
          <w:szCs w:val="24"/>
        </w:rPr>
        <w:t>9</w:t>
      </w:r>
      <w:r w:rsidRPr="00872A2A">
        <w:rPr>
          <w:rFonts w:ascii="Times New Roman" w:eastAsia="Times New Roman" w:hAnsi="Times New Roman" w:cs="Times New Roman"/>
          <w:bCs/>
          <w:sz w:val="24"/>
          <w:szCs w:val="24"/>
        </w:rPr>
        <w:t xml:space="preserve"> </w:t>
      </w:r>
      <w:r w:rsidR="009B6C3E" w:rsidRPr="00872A2A">
        <w:rPr>
          <w:rFonts w:ascii="Times New Roman" w:eastAsia="Times New Roman" w:hAnsi="Times New Roman" w:cs="Times New Roman"/>
          <w:bCs/>
          <w:sz w:val="24"/>
          <w:szCs w:val="24"/>
        </w:rPr>
        <w:t>служители и работници</w:t>
      </w:r>
      <w:r w:rsidRPr="00872A2A">
        <w:rPr>
          <w:rFonts w:ascii="Times New Roman" w:eastAsia="Times New Roman" w:hAnsi="Times New Roman" w:cs="Times New Roman"/>
          <w:bCs/>
          <w:sz w:val="24"/>
          <w:szCs w:val="24"/>
        </w:rPr>
        <w:t>.</w:t>
      </w:r>
    </w:p>
    <w:p w14:paraId="26DC8588" w14:textId="77777777" w:rsidR="0074337A" w:rsidRPr="000837AE" w:rsidRDefault="0074337A" w:rsidP="008E4056">
      <w:pPr>
        <w:spacing w:after="0" w:line="240" w:lineRule="auto"/>
        <w:ind w:firstLine="708"/>
        <w:jc w:val="both"/>
        <w:outlineLvl w:val="0"/>
        <w:rPr>
          <w:rFonts w:ascii="Times New Roman" w:eastAsia="Times New Roman" w:hAnsi="Times New Roman" w:cs="Times New Roman"/>
          <w:bCs/>
          <w:sz w:val="24"/>
          <w:szCs w:val="24"/>
        </w:rPr>
      </w:pPr>
    </w:p>
    <w:p w14:paraId="2EE23ED5" w14:textId="2D80F8BB" w:rsidR="009B6C3E" w:rsidRPr="006F3432" w:rsidRDefault="002809D7" w:rsidP="00D22B00">
      <w:pPr>
        <w:keepNext/>
        <w:spacing w:after="0" w:line="240" w:lineRule="auto"/>
        <w:ind w:left="6804" w:hanging="6378"/>
        <w:jc w:val="both"/>
        <w:rPr>
          <w:rFonts w:ascii="Times New Roman" w:eastAsia="Times New Roman" w:hAnsi="Times New Roman" w:cs="Times New Roman"/>
          <w:bCs/>
          <w:sz w:val="18"/>
          <w:szCs w:val="20"/>
        </w:rPr>
      </w:pPr>
      <w:r w:rsidRPr="006F3432">
        <w:rPr>
          <w:rFonts w:ascii="Times New Roman" w:eastAsia="Times New Roman" w:hAnsi="Times New Roman" w:cs="Times New Roman"/>
          <w:b/>
          <w:bCs/>
          <w:iCs/>
          <w:sz w:val="20"/>
          <w:szCs w:val="20"/>
        </w:rPr>
        <w:t>Таблица 4</w:t>
      </w:r>
      <w:r w:rsidR="00181947" w:rsidRPr="006F3432">
        <w:rPr>
          <w:rFonts w:ascii="Times New Roman" w:eastAsia="Times New Roman" w:hAnsi="Times New Roman" w:cs="Times New Roman"/>
          <w:b/>
          <w:bCs/>
          <w:iCs/>
          <w:sz w:val="20"/>
          <w:szCs w:val="20"/>
        </w:rPr>
        <w:t xml:space="preserve"> </w:t>
      </w:r>
      <w:r w:rsidR="005232C1" w:rsidRPr="006F3432">
        <w:rPr>
          <w:rFonts w:ascii="Times New Roman" w:eastAsia="Times New Roman" w:hAnsi="Times New Roman" w:cs="Times New Roman"/>
          <w:b/>
          <w:bCs/>
          <w:iCs/>
          <w:sz w:val="20"/>
          <w:szCs w:val="20"/>
        </w:rPr>
        <w:tab/>
      </w:r>
      <w:r w:rsidR="00D22B00" w:rsidRPr="006F3432">
        <w:rPr>
          <w:rFonts w:ascii="Times New Roman" w:eastAsia="Times New Roman" w:hAnsi="Times New Roman" w:cs="Times New Roman"/>
          <w:b/>
          <w:bCs/>
          <w:iCs/>
          <w:sz w:val="20"/>
          <w:szCs w:val="20"/>
        </w:rPr>
        <w:tab/>
      </w:r>
      <w:r w:rsidR="00D22B00" w:rsidRPr="006F3432">
        <w:rPr>
          <w:rFonts w:ascii="Times New Roman" w:eastAsia="Times New Roman" w:hAnsi="Times New Roman" w:cs="Times New Roman"/>
          <w:b/>
          <w:bCs/>
          <w:iCs/>
          <w:sz w:val="20"/>
          <w:szCs w:val="20"/>
        </w:rPr>
        <w:tab/>
      </w:r>
      <w:r w:rsidR="00D22B00" w:rsidRPr="006F3432">
        <w:rPr>
          <w:rFonts w:ascii="Times New Roman" w:eastAsia="Times New Roman" w:hAnsi="Times New Roman" w:cs="Times New Roman"/>
          <w:b/>
          <w:bCs/>
          <w:iCs/>
          <w:sz w:val="20"/>
          <w:szCs w:val="20"/>
        </w:rPr>
        <w:tab/>
      </w:r>
      <w:r w:rsidR="00D849BB" w:rsidRPr="006F3432">
        <w:rPr>
          <w:rFonts w:ascii="Times New Roman" w:eastAsia="Times New Roman" w:hAnsi="Times New Roman" w:cs="Times New Roman"/>
          <w:b/>
          <w:bCs/>
          <w:iCs/>
          <w:sz w:val="16"/>
          <w:szCs w:val="16"/>
        </w:rPr>
        <w:t>(</w:t>
      </w:r>
      <w:r w:rsidR="00D849BB" w:rsidRPr="006F3432">
        <w:rPr>
          <w:rFonts w:ascii="Times New Roman" w:eastAsia="Times New Roman" w:hAnsi="Times New Roman" w:cs="Times New Roman"/>
          <w:bCs/>
          <w:sz w:val="14"/>
          <w:szCs w:val="16"/>
        </w:rPr>
        <w:t>в хил. лв.,%)</w:t>
      </w:r>
    </w:p>
    <w:p w14:paraId="435F8885" w14:textId="7FFB346B" w:rsidR="00585B21" w:rsidRDefault="00D22B00" w:rsidP="00D22B00">
      <w:pPr>
        <w:spacing w:after="0" w:line="240" w:lineRule="auto"/>
        <w:jc w:val="center"/>
        <w:rPr>
          <w:rFonts w:ascii="Times New Roman" w:eastAsia="Times New Roman" w:hAnsi="Times New Roman" w:cs="Times New Roman"/>
          <w:bCs/>
          <w:sz w:val="24"/>
          <w:szCs w:val="24"/>
        </w:rPr>
      </w:pPr>
      <w:r w:rsidRPr="00D22B00">
        <w:rPr>
          <w:noProof/>
        </w:rPr>
        <w:drawing>
          <wp:inline distT="0" distB="0" distL="0" distR="0" wp14:anchorId="72711F1F" wp14:editId="3E83FFD4">
            <wp:extent cx="5960119" cy="2006226"/>
            <wp:effectExtent l="0" t="0" r="2540" b="0"/>
            <wp:docPr id="1384688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9379" cy="2016075"/>
                    </a:xfrm>
                    <a:prstGeom prst="rect">
                      <a:avLst/>
                    </a:prstGeom>
                    <a:noFill/>
                    <a:ln>
                      <a:noFill/>
                    </a:ln>
                  </pic:spPr>
                </pic:pic>
              </a:graphicData>
            </a:graphic>
          </wp:inline>
        </w:drawing>
      </w:r>
    </w:p>
    <w:p w14:paraId="4B5D582A" w14:textId="77777777" w:rsidR="00233262" w:rsidRDefault="00233262" w:rsidP="00A16894">
      <w:pPr>
        <w:spacing w:after="0" w:line="240" w:lineRule="auto"/>
        <w:ind w:firstLine="706"/>
        <w:jc w:val="both"/>
        <w:rPr>
          <w:rFonts w:ascii="Times New Roman" w:eastAsia="Times New Roman" w:hAnsi="Times New Roman" w:cs="Times New Roman"/>
          <w:bCs/>
          <w:sz w:val="24"/>
          <w:szCs w:val="24"/>
        </w:rPr>
      </w:pPr>
    </w:p>
    <w:p w14:paraId="0D4250CD" w14:textId="77777777" w:rsidR="00E01CFD" w:rsidRPr="000837AE" w:rsidRDefault="00E01CFD" w:rsidP="00A16894">
      <w:pPr>
        <w:spacing w:after="0" w:line="240" w:lineRule="auto"/>
        <w:ind w:firstLine="706"/>
        <w:jc w:val="both"/>
        <w:rPr>
          <w:rFonts w:ascii="Times New Roman" w:eastAsia="Times New Roman" w:hAnsi="Times New Roman" w:cs="Times New Roman"/>
          <w:bCs/>
          <w:sz w:val="24"/>
          <w:szCs w:val="24"/>
        </w:rPr>
      </w:pPr>
    </w:p>
    <w:p w14:paraId="0922A394" w14:textId="7EF31CBA"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ФИНАНСОВ РЕЗУЛТАТ </w:t>
      </w:r>
    </w:p>
    <w:p w14:paraId="4305322E" w14:textId="5EBDE972" w:rsidR="00A16894" w:rsidRPr="000837AE" w:rsidRDefault="00774924" w:rsidP="008E4056">
      <w:pPr>
        <w:spacing w:after="0" w:line="240" w:lineRule="auto"/>
        <w:ind w:firstLine="708"/>
        <w:jc w:val="both"/>
        <w:outlineLvl w:val="0"/>
        <w:rPr>
          <w:rFonts w:ascii="Times New Roman" w:eastAsia="Times New Roman" w:hAnsi="Times New Roman" w:cs="Times New Roman"/>
          <w:bCs/>
          <w:sz w:val="24"/>
          <w:szCs w:val="24"/>
        </w:rPr>
      </w:pPr>
      <w:r w:rsidRPr="005232C1">
        <w:rPr>
          <w:rFonts w:ascii="Times New Roman" w:eastAsia="Times New Roman" w:hAnsi="Times New Roman" w:cs="Times New Roman"/>
          <w:bCs/>
          <w:sz w:val="24"/>
          <w:szCs w:val="24"/>
        </w:rPr>
        <w:t xml:space="preserve">Към </w:t>
      </w:r>
      <w:r w:rsidR="00E1591E" w:rsidRPr="005232C1">
        <w:rPr>
          <w:rFonts w:ascii="Times New Roman" w:eastAsia="Times New Roman" w:hAnsi="Times New Roman" w:cs="Times New Roman"/>
          <w:bCs/>
          <w:sz w:val="24"/>
          <w:szCs w:val="24"/>
        </w:rPr>
        <w:t>30.09.2024</w:t>
      </w:r>
      <w:r w:rsidR="00E4610F" w:rsidRPr="005232C1">
        <w:rPr>
          <w:rFonts w:ascii="Times New Roman" w:eastAsia="Times New Roman" w:hAnsi="Times New Roman" w:cs="Times New Roman"/>
          <w:bCs/>
          <w:sz w:val="24"/>
          <w:szCs w:val="24"/>
        </w:rPr>
        <w:t xml:space="preserve"> </w:t>
      </w:r>
      <w:r w:rsidRPr="005232C1">
        <w:rPr>
          <w:rFonts w:ascii="Times New Roman" w:eastAsia="Times New Roman" w:hAnsi="Times New Roman" w:cs="Times New Roman"/>
          <w:bCs/>
          <w:sz w:val="24"/>
          <w:szCs w:val="24"/>
        </w:rPr>
        <w:t xml:space="preserve">г. </w:t>
      </w:r>
      <w:bookmarkStart w:id="0" w:name="_Hlk69736739"/>
      <w:r w:rsidRPr="005232C1">
        <w:rPr>
          <w:rFonts w:ascii="Times New Roman" w:eastAsia="Times New Roman" w:hAnsi="Times New Roman" w:cs="Times New Roman"/>
          <w:bCs/>
          <w:sz w:val="24"/>
          <w:szCs w:val="24"/>
        </w:rPr>
        <w:t xml:space="preserve">Дружеството реализира финансов резултат </w:t>
      </w:r>
      <w:r w:rsidR="00C10203" w:rsidRPr="005232C1">
        <w:rPr>
          <w:rFonts w:ascii="Times New Roman" w:eastAsia="Times New Roman" w:hAnsi="Times New Roman" w:cs="Times New Roman"/>
          <w:bCs/>
          <w:sz w:val="24"/>
          <w:szCs w:val="24"/>
        </w:rPr>
        <w:t>загуба</w:t>
      </w:r>
      <w:r w:rsidRPr="005232C1">
        <w:rPr>
          <w:rFonts w:ascii="Times New Roman" w:eastAsia="Times New Roman" w:hAnsi="Times New Roman" w:cs="Times New Roman"/>
          <w:bCs/>
          <w:sz w:val="24"/>
          <w:szCs w:val="24"/>
        </w:rPr>
        <w:t xml:space="preserve"> в размер на </w:t>
      </w:r>
      <w:r w:rsidR="00C10203" w:rsidRPr="005232C1">
        <w:rPr>
          <w:rFonts w:ascii="Times New Roman" w:eastAsia="Times New Roman" w:hAnsi="Times New Roman" w:cs="Times New Roman"/>
          <w:bCs/>
          <w:sz w:val="24"/>
          <w:szCs w:val="24"/>
        </w:rPr>
        <w:t>12</w:t>
      </w:r>
      <w:r w:rsidR="005232C1" w:rsidRPr="005232C1">
        <w:rPr>
          <w:rFonts w:ascii="Times New Roman" w:eastAsia="Times New Roman" w:hAnsi="Times New Roman" w:cs="Times New Roman"/>
          <w:bCs/>
          <w:sz w:val="24"/>
          <w:szCs w:val="24"/>
        </w:rPr>
        <w:t>0</w:t>
      </w:r>
      <w:r w:rsidR="00E4610F" w:rsidRPr="005232C1">
        <w:rPr>
          <w:rFonts w:ascii="Times New Roman" w:eastAsia="Times New Roman" w:hAnsi="Times New Roman" w:cs="Times New Roman"/>
          <w:bCs/>
          <w:sz w:val="24"/>
          <w:szCs w:val="24"/>
        </w:rPr>
        <w:t> </w:t>
      </w:r>
      <w:r w:rsidRPr="005232C1">
        <w:rPr>
          <w:rFonts w:ascii="Times New Roman" w:eastAsia="Times New Roman" w:hAnsi="Times New Roman" w:cs="Times New Roman"/>
          <w:bCs/>
          <w:sz w:val="24"/>
          <w:szCs w:val="24"/>
        </w:rPr>
        <w:t>хил. лв</w:t>
      </w:r>
      <w:bookmarkEnd w:id="0"/>
      <w:r w:rsidR="003F71BD" w:rsidRPr="005232C1">
        <w:rPr>
          <w:rFonts w:ascii="Times New Roman" w:eastAsia="Times New Roman" w:hAnsi="Times New Roman" w:cs="Times New Roman"/>
          <w:bCs/>
          <w:sz w:val="24"/>
          <w:szCs w:val="24"/>
        </w:rPr>
        <w:t>.</w:t>
      </w:r>
    </w:p>
    <w:p w14:paraId="5B538073" w14:textId="77777777" w:rsidR="00A16894" w:rsidRDefault="00A16894" w:rsidP="00A16894">
      <w:pPr>
        <w:spacing w:after="0" w:line="240" w:lineRule="auto"/>
        <w:jc w:val="both"/>
        <w:rPr>
          <w:rFonts w:ascii="Times New Roman" w:eastAsia="Times New Roman" w:hAnsi="Times New Roman" w:cs="Times New Roman"/>
          <w:bCs/>
          <w:sz w:val="24"/>
          <w:szCs w:val="24"/>
        </w:rPr>
      </w:pPr>
    </w:p>
    <w:p w14:paraId="2619009D" w14:textId="351CE9E9" w:rsidR="00774924" w:rsidRPr="000837AE"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КЛЮЧОВИ КОЕФИЦИЕНТИ</w:t>
      </w:r>
    </w:p>
    <w:p w14:paraId="397D631F" w14:textId="0C290A31" w:rsidR="00774924" w:rsidRPr="006F3432" w:rsidRDefault="00774924" w:rsidP="00C10203">
      <w:pPr>
        <w:keepNext/>
        <w:spacing w:after="0" w:line="240" w:lineRule="auto"/>
        <w:ind w:left="7797" w:hanging="5529"/>
        <w:jc w:val="both"/>
        <w:rPr>
          <w:rFonts w:ascii="Times New Roman" w:eastAsia="Times New Roman" w:hAnsi="Times New Roman" w:cs="Times New Roman"/>
          <w:b/>
          <w:bCs/>
          <w:iCs/>
          <w:sz w:val="20"/>
          <w:szCs w:val="20"/>
        </w:rPr>
      </w:pPr>
      <w:r w:rsidRPr="006F3432">
        <w:rPr>
          <w:rFonts w:ascii="Times New Roman" w:eastAsia="Times New Roman" w:hAnsi="Times New Roman" w:cs="Times New Roman"/>
          <w:b/>
          <w:bCs/>
          <w:iCs/>
          <w:sz w:val="20"/>
          <w:szCs w:val="20"/>
        </w:rPr>
        <w:t xml:space="preserve">Таблица </w:t>
      </w:r>
      <w:r w:rsidR="002809D7" w:rsidRPr="006F3432">
        <w:rPr>
          <w:rFonts w:ascii="Times New Roman" w:eastAsia="Times New Roman" w:hAnsi="Times New Roman" w:cs="Times New Roman"/>
          <w:b/>
          <w:bCs/>
          <w:iCs/>
          <w:sz w:val="20"/>
          <w:szCs w:val="20"/>
        </w:rPr>
        <w:t>5</w:t>
      </w:r>
    </w:p>
    <w:p w14:paraId="1A5067DE" w14:textId="4A9E83EC" w:rsidR="00774924" w:rsidRPr="00420430" w:rsidRDefault="00420430" w:rsidP="00952D0C">
      <w:pPr>
        <w:spacing w:after="0"/>
        <w:jc w:val="center"/>
        <w:rPr>
          <w:rFonts w:ascii="Times New Roman" w:hAnsi="Times New Roman"/>
          <w:b/>
          <w:sz w:val="20"/>
        </w:rPr>
      </w:pPr>
      <w:r w:rsidRPr="00420430">
        <w:rPr>
          <w:noProof/>
        </w:rPr>
        <w:drawing>
          <wp:inline distT="0" distB="0" distL="0" distR="0" wp14:anchorId="0AD845AE" wp14:editId="107E088F">
            <wp:extent cx="3888889" cy="683678"/>
            <wp:effectExtent l="0" t="0" r="0" b="2540"/>
            <wp:docPr id="1155079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49" cy="697718"/>
                    </a:xfrm>
                    <a:prstGeom prst="rect">
                      <a:avLst/>
                    </a:prstGeom>
                    <a:noFill/>
                    <a:ln>
                      <a:noFill/>
                    </a:ln>
                  </pic:spPr>
                </pic:pic>
              </a:graphicData>
            </a:graphic>
          </wp:inline>
        </w:drawing>
      </w:r>
    </w:p>
    <w:p w14:paraId="2D55E210" w14:textId="77777777" w:rsidR="00774924" w:rsidRPr="00E1591E" w:rsidRDefault="00774924" w:rsidP="0031070E">
      <w:pPr>
        <w:widowControl w:val="0"/>
        <w:spacing w:after="0"/>
        <w:ind w:left="1080"/>
        <w:jc w:val="both"/>
        <w:rPr>
          <w:rFonts w:ascii="Times New Roman" w:hAnsi="Times New Roman"/>
          <w:b/>
          <w:sz w:val="18"/>
          <w:szCs w:val="18"/>
          <w:highlight w:val="yellow"/>
        </w:rPr>
      </w:pPr>
    </w:p>
    <w:p w14:paraId="745ABAD9" w14:textId="4C116442" w:rsidR="00774924" w:rsidRPr="00420430" w:rsidRDefault="00420430" w:rsidP="00952D0C">
      <w:pPr>
        <w:pStyle w:val="firstline"/>
        <w:ind w:firstLine="0"/>
        <w:jc w:val="center"/>
        <w:rPr>
          <w:b/>
        </w:rPr>
      </w:pPr>
      <w:r w:rsidRPr="00420430">
        <w:rPr>
          <w:b/>
          <w:noProof/>
        </w:rPr>
        <w:drawing>
          <wp:inline distT="0" distB="0" distL="0" distR="0" wp14:anchorId="0ABAD304" wp14:editId="4C860241">
            <wp:extent cx="3911724" cy="2268187"/>
            <wp:effectExtent l="0" t="0" r="0" b="0"/>
            <wp:docPr id="2500598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30294" cy="2278955"/>
                    </a:xfrm>
                    <a:prstGeom prst="rect">
                      <a:avLst/>
                    </a:prstGeom>
                    <a:noFill/>
                  </pic:spPr>
                </pic:pic>
              </a:graphicData>
            </a:graphic>
          </wp:inline>
        </w:drawing>
      </w:r>
    </w:p>
    <w:p w14:paraId="57BF1370" w14:textId="77777777" w:rsidR="00774924" w:rsidRPr="00E1591E" w:rsidRDefault="00774924" w:rsidP="0031070E">
      <w:pPr>
        <w:widowControl w:val="0"/>
        <w:spacing w:after="0"/>
        <w:ind w:left="1080"/>
        <w:jc w:val="both"/>
        <w:rPr>
          <w:rFonts w:ascii="Times New Roman" w:hAnsi="Times New Roman"/>
          <w:b/>
          <w:sz w:val="18"/>
          <w:szCs w:val="18"/>
          <w:highlight w:val="yellow"/>
        </w:rPr>
      </w:pPr>
    </w:p>
    <w:p w14:paraId="58598C39" w14:textId="5F895FAE" w:rsidR="00774924" w:rsidRPr="006F3432" w:rsidRDefault="00774924" w:rsidP="00C10203">
      <w:pPr>
        <w:keepNext/>
        <w:spacing w:after="0" w:line="240" w:lineRule="auto"/>
        <w:ind w:left="7797" w:hanging="5529"/>
        <w:jc w:val="both"/>
        <w:rPr>
          <w:rFonts w:ascii="Times New Roman" w:eastAsia="Times New Roman" w:hAnsi="Times New Roman" w:cs="Times New Roman"/>
          <w:b/>
          <w:bCs/>
          <w:iCs/>
          <w:sz w:val="20"/>
          <w:szCs w:val="20"/>
        </w:rPr>
      </w:pPr>
      <w:r w:rsidRPr="006F3432">
        <w:rPr>
          <w:rFonts w:ascii="Times New Roman" w:eastAsia="Times New Roman" w:hAnsi="Times New Roman" w:cs="Times New Roman"/>
          <w:b/>
          <w:bCs/>
          <w:iCs/>
          <w:sz w:val="20"/>
          <w:szCs w:val="20"/>
        </w:rPr>
        <w:t xml:space="preserve">Таблица </w:t>
      </w:r>
      <w:r w:rsidR="002809D7" w:rsidRPr="006F3432">
        <w:rPr>
          <w:rFonts w:ascii="Times New Roman" w:eastAsia="Times New Roman" w:hAnsi="Times New Roman" w:cs="Times New Roman"/>
          <w:b/>
          <w:bCs/>
          <w:iCs/>
          <w:sz w:val="20"/>
          <w:szCs w:val="20"/>
        </w:rPr>
        <w:t>6</w:t>
      </w:r>
    </w:p>
    <w:p w14:paraId="0F4A16F0" w14:textId="34CB4933" w:rsidR="00774924" w:rsidRPr="00420430" w:rsidRDefault="00420430" w:rsidP="00C10203">
      <w:pPr>
        <w:pStyle w:val="firstline"/>
        <w:ind w:firstLine="0"/>
        <w:jc w:val="center"/>
        <w:rPr>
          <w:b/>
          <w:sz w:val="18"/>
          <w:szCs w:val="18"/>
        </w:rPr>
      </w:pPr>
      <w:r w:rsidRPr="00420430">
        <w:rPr>
          <w:noProof/>
        </w:rPr>
        <w:drawing>
          <wp:inline distT="0" distB="0" distL="0" distR="0" wp14:anchorId="2B8C5506" wp14:editId="136F5ECE">
            <wp:extent cx="3826046" cy="541372"/>
            <wp:effectExtent l="0" t="0" r="3175" b="0"/>
            <wp:docPr id="310971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45377" cy="558257"/>
                    </a:xfrm>
                    <a:prstGeom prst="rect">
                      <a:avLst/>
                    </a:prstGeom>
                    <a:noFill/>
                    <a:ln>
                      <a:noFill/>
                    </a:ln>
                  </pic:spPr>
                </pic:pic>
              </a:graphicData>
            </a:graphic>
          </wp:inline>
        </w:drawing>
      </w:r>
      <w:r w:rsidRPr="00420430">
        <w:t xml:space="preserve"> </w:t>
      </w:r>
    </w:p>
    <w:p w14:paraId="52C41011" w14:textId="5AD90EC6" w:rsidR="00774924" w:rsidRPr="00E1591E" w:rsidRDefault="00420430" w:rsidP="000B2A65">
      <w:pPr>
        <w:pStyle w:val="firstline"/>
        <w:ind w:firstLine="0"/>
        <w:jc w:val="center"/>
        <w:rPr>
          <w:highlight w:val="yellow"/>
        </w:rPr>
      </w:pPr>
      <w:r w:rsidRPr="00420430">
        <w:rPr>
          <w:noProof/>
        </w:rPr>
        <w:drawing>
          <wp:inline distT="0" distB="0" distL="0" distR="0" wp14:anchorId="7CDE9203" wp14:editId="2F5F5D93">
            <wp:extent cx="3983908" cy="2295159"/>
            <wp:effectExtent l="0" t="0" r="0" b="0"/>
            <wp:docPr id="11946854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4840" cy="2307218"/>
                    </a:xfrm>
                    <a:prstGeom prst="rect">
                      <a:avLst/>
                    </a:prstGeom>
                    <a:noFill/>
                  </pic:spPr>
                </pic:pic>
              </a:graphicData>
            </a:graphic>
          </wp:inline>
        </w:drawing>
      </w:r>
    </w:p>
    <w:p w14:paraId="65A97C31" w14:textId="77777777" w:rsidR="00774924" w:rsidRPr="00420430" w:rsidRDefault="00774924" w:rsidP="0031070E">
      <w:pPr>
        <w:widowControl w:val="0"/>
        <w:spacing w:after="0"/>
        <w:ind w:left="1080"/>
        <w:jc w:val="both"/>
        <w:rPr>
          <w:rFonts w:ascii="Times New Roman" w:hAnsi="Times New Roman"/>
          <w:b/>
          <w:sz w:val="18"/>
          <w:szCs w:val="18"/>
        </w:rPr>
      </w:pPr>
    </w:p>
    <w:p w14:paraId="320E4715" w14:textId="0F062CE6" w:rsidR="00774924" w:rsidRPr="006F3432" w:rsidRDefault="00774924" w:rsidP="00C10203">
      <w:pPr>
        <w:keepNext/>
        <w:spacing w:after="0" w:line="240" w:lineRule="auto"/>
        <w:ind w:left="7797" w:hanging="5529"/>
        <w:jc w:val="both"/>
        <w:rPr>
          <w:rFonts w:ascii="Times New Roman" w:eastAsia="Times New Roman" w:hAnsi="Times New Roman" w:cs="Times New Roman"/>
          <w:b/>
          <w:bCs/>
          <w:iCs/>
          <w:sz w:val="20"/>
          <w:szCs w:val="20"/>
        </w:rPr>
      </w:pPr>
      <w:r w:rsidRPr="006F3432">
        <w:rPr>
          <w:rFonts w:ascii="Times New Roman" w:eastAsia="Times New Roman" w:hAnsi="Times New Roman" w:cs="Times New Roman"/>
          <w:b/>
          <w:bCs/>
          <w:iCs/>
          <w:sz w:val="20"/>
          <w:szCs w:val="20"/>
        </w:rPr>
        <w:t xml:space="preserve">Таблица </w:t>
      </w:r>
      <w:r w:rsidR="002809D7" w:rsidRPr="006F3432">
        <w:rPr>
          <w:rFonts w:ascii="Times New Roman" w:eastAsia="Times New Roman" w:hAnsi="Times New Roman" w:cs="Times New Roman"/>
          <w:b/>
          <w:bCs/>
          <w:iCs/>
          <w:sz w:val="20"/>
          <w:szCs w:val="20"/>
        </w:rPr>
        <w:t>7</w:t>
      </w:r>
    </w:p>
    <w:p w14:paraId="68C9BDF4" w14:textId="00029641" w:rsidR="00774924" w:rsidRPr="00420430" w:rsidRDefault="00420430" w:rsidP="000B2A65">
      <w:pPr>
        <w:pStyle w:val="firstline"/>
        <w:ind w:firstLine="0"/>
        <w:jc w:val="center"/>
        <w:rPr>
          <w:b/>
          <w:sz w:val="20"/>
        </w:rPr>
      </w:pPr>
      <w:r w:rsidRPr="00420430">
        <w:rPr>
          <w:noProof/>
        </w:rPr>
        <w:drawing>
          <wp:inline distT="0" distB="0" distL="0" distR="0" wp14:anchorId="2A40A48E" wp14:editId="41AB17A7">
            <wp:extent cx="3903435" cy="552323"/>
            <wp:effectExtent l="0" t="0" r="1905" b="635"/>
            <wp:docPr id="4478587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1846" cy="566248"/>
                    </a:xfrm>
                    <a:prstGeom prst="rect">
                      <a:avLst/>
                    </a:prstGeom>
                    <a:noFill/>
                    <a:ln>
                      <a:noFill/>
                    </a:ln>
                  </pic:spPr>
                </pic:pic>
              </a:graphicData>
            </a:graphic>
          </wp:inline>
        </w:drawing>
      </w:r>
      <w:r w:rsidRPr="00420430">
        <w:t xml:space="preserve"> </w:t>
      </w:r>
      <w:r w:rsidR="00C10203" w:rsidRPr="00420430">
        <w:t xml:space="preserve"> </w:t>
      </w:r>
    </w:p>
    <w:p w14:paraId="0E58095B" w14:textId="77777777" w:rsidR="00774924" w:rsidRPr="00E1591E" w:rsidRDefault="00774924" w:rsidP="00774924">
      <w:pPr>
        <w:pStyle w:val="firstline"/>
        <w:ind w:firstLine="708"/>
        <w:rPr>
          <w:b/>
          <w:highlight w:val="yellow"/>
        </w:rPr>
      </w:pPr>
    </w:p>
    <w:p w14:paraId="626B9E15" w14:textId="3E4E884B" w:rsidR="00774924" w:rsidRPr="00420430" w:rsidRDefault="00420430" w:rsidP="000B2A65">
      <w:pPr>
        <w:pStyle w:val="firstline"/>
        <w:ind w:firstLine="0"/>
        <w:jc w:val="center"/>
      </w:pPr>
      <w:r w:rsidRPr="00420430">
        <w:rPr>
          <w:noProof/>
        </w:rPr>
        <w:drawing>
          <wp:inline distT="0" distB="0" distL="0" distR="0" wp14:anchorId="1ACBE227" wp14:editId="7DB9B2EA">
            <wp:extent cx="3932101" cy="2226624"/>
            <wp:effectExtent l="0" t="0" r="0" b="2540"/>
            <wp:docPr id="14884079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51294" cy="2237493"/>
                    </a:xfrm>
                    <a:prstGeom prst="rect">
                      <a:avLst/>
                    </a:prstGeom>
                    <a:noFill/>
                  </pic:spPr>
                </pic:pic>
              </a:graphicData>
            </a:graphic>
          </wp:inline>
        </w:drawing>
      </w:r>
    </w:p>
    <w:p w14:paraId="559C640B" w14:textId="77777777" w:rsidR="00774924" w:rsidRPr="00E1591E" w:rsidRDefault="00774924" w:rsidP="0031070E">
      <w:pPr>
        <w:widowControl w:val="0"/>
        <w:spacing w:after="0"/>
        <w:ind w:left="1080"/>
        <w:jc w:val="both"/>
        <w:rPr>
          <w:rFonts w:ascii="Times New Roman" w:hAnsi="Times New Roman"/>
          <w:b/>
          <w:sz w:val="18"/>
          <w:szCs w:val="18"/>
          <w:highlight w:val="yellow"/>
        </w:rPr>
      </w:pPr>
    </w:p>
    <w:p w14:paraId="61D7F42B" w14:textId="2882BF9E" w:rsidR="00774924" w:rsidRPr="006F3432" w:rsidRDefault="00181947" w:rsidP="00C10203">
      <w:pPr>
        <w:keepNext/>
        <w:spacing w:after="0" w:line="240" w:lineRule="auto"/>
        <w:ind w:left="7797" w:hanging="5529"/>
        <w:jc w:val="both"/>
        <w:rPr>
          <w:rFonts w:ascii="Times New Roman" w:eastAsia="Times New Roman" w:hAnsi="Times New Roman" w:cs="Times New Roman"/>
          <w:b/>
          <w:bCs/>
          <w:iCs/>
          <w:sz w:val="20"/>
          <w:szCs w:val="20"/>
        </w:rPr>
      </w:pPr>
      <w:r w:rsidRPr="006F3432">
        <w:rPr>
          <w:rFonts w:ascii="Times New Roman" w:eastAsia="Times New Roman" w:hAnsi="Times New Roman" w:cs="Times New Roman"/>
          <w:b/>
          <w:bCs/>
          <w:iCs/>
          <w:sz w:val="20"/>
          <w:szCs w:val="20"/>
        </w:rPr>
        <w:t xml:space="preserve">Таблица </w:t>
      </w:r>
      <w:r w:rsidR="002809D7" w:rsidRPr="006F3432">
        <w:rPr>
          <w:rFonts w:ascii="Times New Roman" w:eastAsia="Times New Roman" w:hAnsi="Times New Roman" w:cs="Times New Roman"/>
          <w:b/>
          <w:bCs/>
          <w:iCs/>
          <w:sz w:val="20"/>
          <w:szCs w:val="20"/>
        </w:rPr>
        <w:t>8</w:t>
      </w:r>
    </w:p>
    <w:p w14:paraId="34BF033E" w14:textId="7DFC6D3C" w:rsidR="00774924" w:rsidRPr="00E1591E" w:rsidRDefault="00420430" w:rsidP="000B2A65">
      <w:pPr>
        <w:pStyle w:val="firstline"/>
        <w:ind w:firstLine="0"/>
        <w:jc w:val="center"/>
        <w:rPr>
          <w:b/>
          <w:sz w:val="20"/>
          <w:highlight w:val="yellow"/>
        </w:rPr>
      </w:pPr>
      <w:r w:rsidRPr="00420430">
        <w:rPr>
          <w:noProof/>
        </w:rPr>
        <w:drawing>
          <wp:inline distT="0" distB="0" distL="0" distR="0" wp14:anchorId="73B140DE" wp14:editId="7887571F">
            <wp:extent cx="3904359" cy="415327"/>
            <wp:effectExtent l="0" t="0" r="1270" b="3810"/>
            <wp:docPr id="4221259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86457" cy="424060"/>
                    </a:xfrm>
                    <a:prstGeom prst="rect">
                      <a:avLst/>
                    </a:prstGeom>
                    <a:noFill/>
                    <a:ln>
                      <a:noFill/>
                    </a:ln>
                  </pic:spPr>
                </pic:pic>
              </a:graphicData>
            </a:graphic>
          </wp:inline>
        </w:drawing>
      </w:r>
      <w:r w:rsidRPr="00420430">
        <w:t xml:space="preserve"> </w:t>
      </w:r>
      <w:r w:rsidR="00C10203" w:rsidRPr="00E1591E">
        <w:rPr>
          <w:highlight w:val="yellow"/>
        </w:rPr>
        <w:t xml:space="preserve"> </w:t>
      </w:r>
    </w:p>
    <w:p w14:paraId="662FE1A8" w14:textId="77777777" w:rsidR="00774924" w:rsidRPr="00E1591E" w:rsidRDefault="00774924" w:rsidP="0031070E">
      <w:pPr>
        <w:widowControl w:val="0"/>
        <w:spacing w:after="0"/>
        <w:ind w:left="1080"/>
        <w:jc w:val="both"/>
        <w:rPr>
          <w:rFonts w:ascii="Times New Roman" w:hAnsi="Times New Roman"/>
          <w:b/>
          <w:sz w:val="18"/>
          <w:szCs w:val="18"/>
          <w:highlight w:val="yellow"/>
        </w:rPr>
      </w:pPr>
    </w:p>
    <w:p w14:paraId="122C6174" w14:textId="2586DE7A" w:rsidR="00774924" w:rsidRPr="00C10203" w:rsidRDefault="00420430" w:rsidP="000B2A65">
      <w:pPr>
        <w:pStyle w:val="firstline"/>
        <w:ind w:firstLine="0"/>
        <w:jc w:val="center"/>
        <w:rPr>
          <w:color w:val="auto"/>
        </w:rPr>
      </w:pPr>
      <w:r>
        <w:rPr>
          <w:noProof/>
          <w:color w:val="auto"/>
        </w:rPr>
        <w:drawing>
          <wp:inline distT="0" distB="0" distL="0" distR="0" wp14:anchorId="517CA055" wp14:editId="3ACAD92C">
            <wp:extent cx="3954483" cy="2294143"/>
            <wp:effectExtent l="0" t="0" r="8255" b="0"/>
            <wp:docPr id="5954378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74912" cy="2305995"/>
                    </a:xfrm>
                    <a:prstGeom prst="rect">
                      <a:avLst/>
                    </a:prstGeom>
                    <a:noFill/>
                  </pic:spPr>
                </pic:pic>
              </a:graphicData>
            </a:graphic>
          </wp:inline>
        </w:drawing>
      </w:r>
    </w:p>
    <w:p w14:paraId="63E61714" w14:textId="77777777" w:rsidR="00D849BB" w:rsidRDefault="00D849BB" w:rsidP="000B2A65">
      <w:pPr>
        <w:pStyle w:val="firstline"/>
        <w:ind w:firstLine="0"/>
        <w:jc w:val="center"/>
        <w:rPr>
          <w:color w:val="auto"/>
        </w:rPr>
      </w:pPr>
    </w:p>
    <w:p w14:paraId="55DFE9D1" w14:textId="77777777" w:rsidR="005232C1" w:rsidRPr="005232C1" w:rsidRDefault="005232C1" w:rsidP="005232C1">
      <w:pPr>
        <w:spacing w:after="0" w:line="240" w:lineRule="auto"/>
        <w:jc w:val="both"/>
        <w:rPr>
          <w:rFonts w:ascii="Times New Roman" w:eastAsia="Times New Roman" w:hAnsi="Times New Roman" w:cs="Times New Roman"/>
          <w:bCs/>
          <w:sz w:val="24"/>
          <w:szCs w:val="24"/>
        </w:rPr>
      </w:pPr>
      <w:r w:rsidRPr="005232C1">
        <w:rPr>
          <w:rFonts w:ascii="Times New Roman" w:eastAsia="Times New Roman" w:hAnsi="Times New Roman" w:cs="Times New Roman"/>
          <w:bCs/>
          <w:sz w:val="24"/>
          <w:szCs w:val="24"/>
        </w:rPr>
        <w:tab/>
        <w:t>Относителният дял на дълготрайните активи към 30.09.2024 година възлиза на 39,55 % от сумата на актива. Делът на краткотрайните активи /1478 хил. лв./ в общите активи възлиза на 60,45 %. Относителният дял на основните материали /109 хил. лв./ е 7,37 % от краткотрайните активи.</w:t>
      </w:r>
    </w:p>
    <w:p w14:paraId="0A19CBD3" w14:textId="5B320D67" w:rsidR="005232C1" w:rsidRPr="005232C1" w:rsidRDefault="005232C1" w:rsidP="005232C1">
      <w:pPr>
        <w:spacing w:after="0" w:line="240" w:lineRule="auto"/>
        <w:ind w:firstLine="709"/>
        <w:jc w:val="both"/>
        <w:rPr>
          <w:rFonts w:ascii="Times New Roman" w:eastAsia="Times New Roman" w:hAnsi="Times New Roman" w:cs="Times New Roman"/>
          <w:bCs/>
          <w:sz w:val="24"/>
          <w:szCs w:val="24"/>
        </w:rPr>
      </w:pPr>
      <w:r w:rsidRPr="005232C1">
        <w:rPr>
          <w:rFonts w:ascii="Times New Roman" w:eastAsia="Times New Roman" w:hAnsi="Times New Roman" w:cs="Times New Roman"/>
          <w:bCs/>
          <w:sz w:val="24"/>
          <w:szCs w:val="24"/>
        </w:rPr>
        <w:t>Краткосрочната задлъжнялост е в размер на 295 хил. лв.. Най-голям е делът за възнаграждения на персонала и социални осигуровки, които са начислени за отчетния период, но същите са с бързоликвиден характер.</w:t>
      </w:r>
    </w:p>
    <w:p w14:paraId="1AAD14E1" w14:textId="6C3FFFCC" w:rsidR="005232C1" w:rsidRPr="005232C1" w:rsidRDefault="005232C1" w:rsidP="005232C1">
      <w:pPr>
        <w:spacing w:after="0" w:line="240" w:lineRule="auto"/>
        <w:ind w:firstLine="709"/>
        <w:jc w:val="both"/>
        <w:rPr>
          <w:rFonts w:ascii="Times New Roman" w:eastAsia="Times New Roman" w:hAnsi="Times New Roman" w:cs="Times New Roman"/>
          <w:bCs/>
          <w:sz w:val="24"/>
          <w:szCs w:val="24"/>
        </w:rPr>
      </w:pPr>
      <w:r w:rsidRPr="005232C1">
        <w:rPr>
          <w:rFonts w:ascii="Times New Roman" w:eastAsia="Times New Roman" w:hAnsi="Times New Roman" w:cs="Times New Roman"/>
          <w:bCs/>
          <w:sz w:val="24"/>
          <w:szCs w:val="24"/>
        </w:rPr>
        <w:t>Коефициентът на обща ликвидност е 5,010 т.е. дружеството има възможност да посрещне текущите си задължения с краткотрайни активи и да набележи приоритетите си в инвестиционната си политика.</w:t>
      </w:r>
    </w:p>
    <w:p w14:paraId="7D06AA31" w14:textId="695DE267" w:rsidR="005232C1" w:rsidRPr="005232C1" w:rsidRDefault="005232C1" w:rsidP="005232C1">
      <w:pPr>
        <w:spacing w:after="0" w:line="240" w:lineRule="auto"/>
        <w:ind w:firstLine="709"/>
        <w:jc w:val="both"/>
        <w:rPr>
          <w:rFonts w:ascii="Times New Roman" w:eastAsia="Times New Roman" w:hAnsi="Times New Roman" w:cs="Times New Roman"/>
          <w:bCs/>
          <w:sz w:val="24"/>
          <w:szCs w:val="24"/>
        </w:rPr>
      </w:pPr>
      <w:r w:rsidRPr="005232C1">
        <w:rPr>
          <w:rFonts w:ascii="Times New Roman" w:eastAsia="Times New Roman" w:hAnsi="Times New Roman" w:cs="Times New Roman"/>
          <w:bCs/>
          <w:sz w:val="24"/>
          <w:szCs w:val="24"/>
        </w:rPr>
        <w:t xml:space="preserve">Осигурени бяха средства за работни заплати на личния състав и запазване на високоспециализираните медицински специалисти, закупуване на дезинфектанти и други за </w:t>
      </w:r>
      <w:r w:rsidR="00E80B40">
        <w:rPr>
          <w:rFonts w:ascii="Times New Roman" w:eastAsia="Times New Roman" w:hAnsi="Times New Roman" w:cs="Times New Roman"/>
          <w:bCs/>
          <w:sz w:val="24"/>
          <w:szCs w:val="24"/>
        </w:rPr>
        <w:t>осигуряване нормални</w:t>
      </w:r>
      <w:r w:rsidRPr="005232C1">
        <w:rPr>
          <w:rFonts w:ascii="Times New Roman" w:eastAsia="Times New Roman" w:hAnsi="Times New Roman" w:cs="Times New Roman"/>
          <w:bCs/>
          <w:sz w:val="24"/>
          <w:szCs w:val="24"/>
        </w:rPr>
        <w:t xml:space="preserve"> условия за работа на лечебното заведение.</w:t>
      </w:r>
    </w:p>
    <w:p w14:paraId="06A35A0C" w14:textId="77777777" w:rsidR="005232C1" w:rsidRDefault="005232C1" w:rsidP="000B2A65">
      <w:pPr>
        <w:pStyle w:val="firstline"/>
        <w:ind w:firstLine="0"/>
        <w:jc w:val="center"/>
        <w:rPr>
          <w:color w:val="auto"/>
        </w:rPr>
      </w:pPr>
    </w:p>
    <w:p w14:paraId="50DE5163" w14:textId="77777777" w:rsidR="005232C1" w:rsidRPr="000837AE" w:rsidRDefault="005232C1" w:rsidP="000B2A65">
      <w:pPr>
        <w:pStyle w:val="firstline"/>
        <w:ind w:firstLine="0"/>
        <w:jc w:val="center"/>
        <w:rPr>
          <w:color w:val="auto"/>
        </w:rPr>
      </w:pPr>
    </w:p>
    <w:p w14:paraId="65A2E355" w14:textId="77777777" w:rsidR="00D83F75" w:rsidRPr="000837AE" w:rsidRDefault="00D83F75" w:rsidP="00D83F75">
      <w:pPr>
        <w:pStyle w:val="a5"/>
        <w:tabs>
          <w:tab w:val="left" w:pos="360"/>
        </w:tabs>
        <w:spacing w:after="0" w:line="240" w:lineRule="auto"/>
        <w:ind w:left="0"/>
        <w:jc w:val="both"/>
        <w:rPr>
          <w:rFonts w:ascii="Times New Roman" w:eastAsia="Arial Unicode MS" w:hAnsi="Times New Roman"/>
        </w:rPr>
      </w:pPr>
    </w:p>
    <w:p w14:paraId="22A98FC9" w14:textId="28D202CA" w:rsidR="00774924" w:rsidRPr="000837AE" w:rsidRDefault="00774924"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ОПИСАНИЕ НА ОСНОВНИТЕ РИСКОВЕ И НЕСИГУРНОСТИ, ПРЕД КОИТО Е ИЗПРАВЕНО СБР “СВ.</w:t>
      </w:r>
      <w:r w:rsidR="00420430">
        <w:rPr>
          <w:rFonts w:ascii="Times New Roman" w:eastAsia="Times New Roman" w:hAnsi="Times New Roman" w:cs="Times New Roman"/>
          <w:b/>
          <w:bCs/>
          <w:sz w:val="24"/>
          <w:szCs w:val="24"/>
        </w:rPr>
        <w:t xml:space="preserve"> </w:t>
      </w:r>
      <w:r w:rsidRPr="000837AE">
        <w:rPr>
          <w:rFonts w:ascii="Times New Roman" w:eastAsia="Times New Roman" w:hAnsi="Times New Roman" w:cs="Times New Roman"/>
          <w:b/>
          <w:bCs/>
          <w:sz w:val="24"/>
          <w:szCs w:val="24"/>
        </w:rPr>
        <w:t xml:space="preserve">БОГОРОДИЦА” ЕООД ПРЕЗ СЛЕДВАЩИЯ ФИНАНСОВ ПЕРИОД </w:t>
      </w:r>
    </w:p>
    <w:p w14:paraId="5AE157A4" w14:textId="77777777" w:rsidR="008E4056" w:rsidRPr="000837AE" w:rsidRDefault="008E4056" w:rsidP="008E4056">
      <w:pPr>
        <w:pStyle w:val="a5"/>
        <w:keepNext/>
        <w:spacing w:after="120" w:line="240" w:lineRule="auto"/>
        <w:jc w:val="both"/>
        <w:outlineLvl w:val="0"/>
        <w:rPr>
          <w:rFonts w:ascii="Times New Roman" w:eastAsia="Times New Roman" w:hAnsi="Times New Roman" w:cs="Times New Roman"/>
          <w:b/>
          <w:bCs/>
          <w:sz w:val="24"/>
          <w:szCs w:val="24"/>
        </w:rPr>
      </w:pPr>
    </w:p>
    <w:p w14:paraId="14DA8735" w14:textId="55D67DCC" w:rsidR="00D83F75" w:rsidRPr="000837AE"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СИСТЕМАТИЧНИ РИСКОВЕ</w:t>
      </w:r>
    </w:p>
    <w:p w14:paraId="1E81BEF2" w14:textId="77777777"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Систематичните рискове са свързани с пазара и макросредата, в която Дружеството функционира, поради което те не могат да бъдат управлявани и контролирани от мениджмънта на компанията. Систематични рискове са: политическият риск, макроикономическият риск, инфлационният риск, валутният риск, лихвеният риск, данъчният риск.</w:t>
      </w:r>
    </w:p>
    <w:p w14:paraId="58A8B9B6" w14:textId="77777777" w:rsidR="00181947" w:rsidRPr="000837AE" w:rsidRDefault="00181947" w:rsidP="008E4056">
      <w:pPr>
        <w:spacing w:after="0" w:line="240" w:lineRule="auto"/>
        <w:ind w:firstLine="708"/>
        <w:jc w:val="both"/>
        <w:outlineLvl w:val="0"/>
        <w:rPr>
          <w:rFonts w:ascii="Times New Roman" w:eastAsia="Times New Roman" w:hAnsi="Times New Roman" w:cs="Times New Roman"/>
          <w:bCs/>
          <w:sz w:val="24"/>
          <w:szCs w:val="24"/>
        </w:rPr>
      </w:pPr>
    </w:p>
    <w:p w14:paraId="3F78C9A7" w14:textId="125D077A" w:rsidR="00D83F75" w:rsidRDefault="00D83F75" w:rsidP="0074337A">
      <w:pPr>
        <w:keepNext/>
        <w:spacing w:after="120" w:line="240" w:lineRule="auto"/>
        <w:ind w:firstLine="284"/>
        <w:rPr>
          <w:rFonts w:ascii="Times New Roman" w:eastAsia="Times New Roman" w:hAnsi="Times New Roman" w:cs="Times New Roman"/>
          <w:b/>
          <w:bCs/>
          <w:iCs/>
          <w:sz w:val="20"/>
          <w:szCs w:val="24"/>
        </w:rPr>
      </w:pPr>
      <w:r w:rsidRPr="00D92553">
        <w:rPr>
          <w:rFonts w:ascii="Times New Roman" w:eastAsia="Times New Roman" w:hAnsi="Times New Roman" w:cs="Times New Roman"/>
          <w:b/>
          <w:bCs/>
          <w:iCs/>
          <w:sz w:val="20"/>
          <w:szCs w:val="24"/>
        </w:rPr>
        <w:t xml:space="preserve">Таблица </w:t>
      </w:r>
      <w:r w:rsidR="009A3E90">
        <w:rPr>
          <w:rFonts w:ascii="Times New Roman" w:eastAsia="Times New Roman" w:hAnsi="Times New Roman" w:cs="Times New Roman"/>
          <w:b/>
          <w:bCs/>
          <w:iCs/>
          <w:sz w:val="20"/>
          <w:szCs w:val="24"/>
        </w:rPr>
        <w:t>9</w:t>
      </w: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8468"/>
      </w:tblGrid>
      <w:tr w:rsidR="002F7DCF" w:rsidRPr="002F7DCF" w14:paraId="417300AE" w14:textId="77777777" w:rsidTr="00420430">
        <w:trPr>
          <w:trHeight w:val="384"/>
          <w:jc w:val="center"/>
        </w:trPr>
        <w:tc>
          <w:tcPr>
            <w:tcW w:w="1770" w:type="dxa"/>
            <w:shd w:val="clear" w:color="auto" w:fill="auto"/>
            <w:vAlign w:val="center"/>
          </w:tcPr>
          <w:p w14:paraId="500437C6" w14:textId="77777777" w:rsidR="002F7DCF" w:rsidRPr="002F7DCF" w:rsidRDefault="002F7DCF" w:rsidP="002F7DCF">
            <w:pPr>
              <w:spacing w:after="0" w:line="240" w:lineRule="auto"/>
              <w:rPr>
                <w:rFonts w:ascii="Times New Roman" w:eastAsia="Times New Roman" w:hAnsi="Times New Roman" w:cs="Times New Roman"/>
                <w:b/>
                <w:sz w:val="20"/>
                <w:szCs w:val="20"/>
                <w:lang w:eastAsia="bg-BG"/>
              </w:rPr>
            </w:pPr>
            <w:bookmarkStart w:id="1" w:name="_Hlk109131039"/>
            <w:r w:rsidRPr="002F7DCF">
              <w:rPr>
                <w:rFonts w:ascii="Times New Roman" w:eastAsia="Times New Roman" w:hAnsi="Times New Roman" w:cs="Times New Roman"/>
                <w:b/>
                <w:sz w:val="20"/>
                <w:szCs w:val="20"/>
                <w:lang w:eastAsia="bg-BG"/>
              </w:rPr>
              <w:t>Вид риск</w:t>
            </w:r>
          </w:p>
        </w:tc>
        <w:tc>
          <w:tcPr>
            <w:tcW w:w="8468" w:type="dxa"/>
            <w:shd w:val="clear" w:color="auto" w:fill="auto"/>
            <w:vAlign w:val="center"/>
          </w:tcPr>
          <w:p w14:paraId="4CDC7B4C" w14:textId="77777777" w:rsidR="002F7DCF" w:rsidRPr="002F7DCF" w:rsidRDefault="002F7DCF" w:rsidP="002F7DCF">
            <w:pPr>
              <w:spacing w:after="0" w:line="240" w:lineRule="auto"/>
              <w:rPr>
                <w:rFonts w:ascii="Times New Roman" w:eastAsia="Times New Roman" w:hAnsi="Times New Roman" w:cs="Times New Roman"/>
                <w:b/>
                <w:sz w:val="20"/>
                <w:szCs w:val="20"/>
                <w:lang w:eastAsia="bg-BG"/>
              </w:rPr>
            </w:pPr>
            <w:r w:rsidRPr="002F7DCF">
              <w:rPr>
                <w:rFonts w:ascii="Times New Roman" w:eastAsia="Times New Roman" w:hAnsi="Times New Roman" w:cs="Times New Roman"/>
                <w:b/>
                <w:sz w:val="20"/>
                <w:szCs w:val="20"/>
                <w:lang w:eastAsia="bg-BG"/>
              </w:rPr>
              <w:t xml:space="preserve">Описание </w:t>
            </w:r>
          </w:p>
        </w:tc>
      </w:tr>
      <w:tr w:rsidR="002F7DCF" w:rsidRPr="002F7DCF" w14:paraId="2A2E2112" w14:textId="77777777" w:rsidTr="00420430">
        <w:trPr>
          <w:jc w:val="center"/>
        </w:trPr>
        <w:tc>
          <w:tcPr>
            <w:tcW w:w="1770" w:type="dxa"/>
            <w:shd w:val="clear" w:color="auto" w:fill="auto"/>
          </w:tcPr>
          <w:p w14:paraId="73EDE687" w14:textId="77777777" w:rsidR="002F7DCF" w:rsidRPr="002F7DCF" w:rsidRDefault="002F7DCF" w:rsidP="002F7DCF">
            <w:pPr>
              <w:spacing w:after="0" w:line="240" w:lineRule="auto"/>
              <w:rPr>
                <w:rFonts w:ascii="Times New Roman" w:eastAsia="Times New Roman" w:hAnsi="Times New Roman" w:cs="Times New Roman"/>
                <w:sz w:val="18"/>
                <w:szCs w:val="20"/>
                <w:lang w:val="en-US" w:eastAsia="bg-BG"/>
              </w:rPr>
            </w:pPr>
            <w:bookmarkStart w:id="2" w:name="_Hlk156382134"/>
            <w:r w:rsidRPr="002F7DCF">
              <w:rPr>
                <w:rFonts w:ascii="Times New Roman" w:eastAsia="Times New Roman" w:hAnsi="Times New Roman" w:cs="Times New Roman"/>
                <w:sz w:val="18"/>
                <w:szCs w:val="20"/>
                <w:lang w:eastAsia="bg-BG"/>
              </w:rPr>
              <w:t>ПОЛИТИЧЕСКИ РИСК</w:t>
            </w:r>
          </w:p>
        </w:tc>
        <w:tc>
          <w:tcPr>
            <w:tcW w:w="8468" w:type="dxa"/>
            <w:shd w:val="clear" w:color="auto" w:fill="auto"/>
          </w:tcPr>
          <w:p w14:paraId="08B1C8A6"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 xml:space="preserve">Политическият риск е вероятността от смяна на правителството или от внезапна промяна в неговата политика, от възникване на вътрешнополитически сътресения и неблагоприятни промени в европейското и/или националното законодателство, в резултат на което средата, в която оперират местните стопански субекти да се промени негативно, a инвеститорите да понесат загуби. </w:t>
            </w:r>
          </w:p>
          <w:p w14:paraId="276B48AB"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Продължаващата политическа нестабилност има потенциал да окаже влияние на макроикономическия растеж и бизнес средата в България. В тази връзка, в случай че се създаде несигурност в българската икономика – относно фискалната и/или паричната политика, върховенството на закона и правоприлагането, нивото на корупция и бюрократични тежести и др. – това може да доведе до спад на инвестициите, изтичане на капитали от страната и по-консервативно поведение от страна на инвеститори/клиенти. Това от своя страна може да доведе до забавяне на икономическия растеж или дори до рецесия и намаляване на заетостта и разполагаемия доход, което ще намали икономическата активност и ще влоши кредитоспособността на определени икономически субекти. В тази връзка е възможно, някои субекти да отчетат по-слаби финансови резултати от очакваното. Въпреки частичното присъединяване към Шенген, изтъквано като успех от двете най-големи политически партии в българския парламент, България се насочва към поредни парламентарни избори за последните три години. Очакванията на бизнеса са след провеждането на изборите да бъде съставено редовно правителство, което да поеме ясен ангажимент за поддържане на макроикономическа стабилност и добра бизнес среда. Това включва ограничаване на макроикономическите дисбаланси и устойчиви политики в подкрепа на конкурентоспособността. Сред основните външнополитически котви са поддържането на ниска инфлация и приемането на еврото, както и пълноправното членство в Шенгенското пространство.</w:t>
            </w:r>
            <w:r w:rsidRPr="002F7DCF">
              <w:rPr>
                <w:rFonts w:ascii="Times New Roman" w:eastAsia="Times New Roman" w:hAnsi="Times New Roman" w:cs="Times New Roman"/>
                <w:sz w:val="24"/>
                <w:szCs w:val="24"/>
                <w:lang w:eastAsia="bg-BG"/>
              </w:rPr>
              <w:t xml:space="preserve"> </w:t>
            </w:r>
            <w:r w:rsidRPr="002F7DCF">
              <w:rPr>
                <w:rFonts w:ascii="Times New Roman" w:eastAsia="Times New Roman" w:hAnsi="Times New Roman" w:cs="Times New Roman"/>
                <w:sz w:val="20"/>
                <w:szCs w:val="20"/>
                <w:lang w:eastAsia="bg-BG"/>
              </w:rPr>
              <w:t xml:space="preserve">От ключово значение е провеждането на разумна бюджетна политика, спазването на фискалните правила, както и поддържането на ниски преки данъци. </w:t>
            </w:r>
          </w:p>
          <w:p w14:paraId="59CFA315"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0DB04A1A"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 xml:space="preserve">Продължаващата политическа нестабилност  отдалечава България, както от присъединяване на сухопътните граници към Шенген, така и от приемането на еврото като национална валута през 2025 г. – цел, която според анализаторите вече не изглежда реалистична. Наблюдаваната политическа несигурност поставя под въпрос възможността да се проведат адекватни реформи в администрацията, образованието и здравеопазването, които формират основните бюджетни разходи. </w:t>
            </w:r>
          </w:p>
          <w:p w14:paraId="3F178962"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 xml:space="preserve">Несигурността по отношение на прилаганите приоритети от страна на централната власт поставя под риск и възможността да бъдат извършени адекватни реформи в структуроопределящи сектори в страната, с оглед оптимизация на процеса по ефективно усвояване на средства от ЕС. Внимание следва да се обърне върху реформите в неефективната пенсионно-осигурителна система, здравната система и образованието; административната координация и правилата при финансирането на проекти, включително подобряване на процеса по отпускане, координиране и управление на средствата от европейските фондове. Въпреки извършените промени в Основния закон на Р. България, прокламирани от политическите сили с най-голяма представителност в 49-тото Народно събрание, като важен фактор за извършване на съдебна реформа, основен проблем пред страната е намиране на подкрепа сред парламентарно представените сили в борбата срещу корупцията. Допълнителен проблем е и липсата на конкретни политики от страна на централните власти, отчитащи икономическия интерес на България от т.нар. „зелена сделка“. </w:t>
            </w:r>
          </w:p>
          <w:p w14:paraId="04FE4873"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ru-RU" w:eastAsia="bg-BG"/>
              </w:rPr>
            </w:pPr>
          </w:p>
        </w:tc>
      </w:tr>
      <w:tr w:rsidR="002F7DCF" w:rsidRPr="002F7DCF" w14:paraId="344B7BA0" w14:textId="77777777" w:rsidTr="00420430">
        <w:trPr>
          <w:jc w:val="center"/>
        </w:trPr>
        <w:tc>
          <w:tcPr>
            <w:tcW w:w="1770" w:type="dxa"/>
            <w:shd w:val="clear" w:color="auto" w:fill="auto"/>
          </w:tcPr>
          <w:p w14:paraId="46B77958"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bookmarkStart w:id="3" w:name="_Hlk156382257"/>
            <w:bookmarkEnd w:id="2"/>
            <w:r w:rsidRPr="002F7DCF">
              <w:rPr>
                <w:rFonts w:ascii="Times New Roman" w:eastAsia="Times New Roman" w:hAnsi="Times New Roman" w:cs="Times New Roman"/>
                <w:sz w:val="18"/>
                <w:szCs w:val="20"/>
                <w:lang w:eastAsia="bg-BG"/>
              </w:rPr>
              <w:t>ОБЩ МАКРОИКОНОМИЧЕСКИ РИСК</w:t>
            </w:r>
          </w:p>
        </w:tc>
        <w:tc>
          <w:tcPr>
            <w:tcW w:w="8468" w:type="dxa"/>
            <w:shd w:val="clear" w:color="auto" w:fill="auto"/>
          </w:tcPr>
          <w:p w14:paraId="07B6FB97"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ru-RU" w:eastAsia="bg-BG"/>
              </w:rPr>
            </w:pPr>
            <w:r w:rsidRPr="002F7DCF">
              <w:rPr>
                <w:rFonts w:ascii="Times New Roman" w:eastAsia="Times New Roman" w:hAnsi="Times New Roman" w:cs="Times New Roman"/>
                <w:sz w:val="20"/>
                <w:szCs w:val="20"/>
                <w:lang w:eastAsia="bg-BG"/>
              </w:rPr>
              <w:t>По данни на Националния статистически институт от 30.</w:t>
            </w:r>
            <w:r w:rsidRPr="002F7DCF">
              <w:rPr>
                <w:rFonts w:ascii="Times New Roman" w:eastAsia="Times New Roman" w:hAnsi="Times New Roman" w:cs="Times New Roman"/>
                <w:sz w:val="20"/>
                <w:szCs w:val="20"/>
                <w:lang w:val="ru-RU" w:eastAsia="bg-BG"/>
              </w:rPr>
              <w:t>09</w:t>
            </w:r>
            <w:r w:rsidRPr="002F7DCF">
              <w:rPr>
                <w:rFonts w:ascii="Times New Roman" w:eastAsia="Times New Roman" w:hAnsi="Times New Roman" w:cs="Times New Roman"/>
                <w:sz w:val="20"/>
                <w:szCs w:val="20"/>
                <w:lang w:eastAsia="bg-BG"/>
              </w:rPr>
              <w:t>.202</w:t>
            </w:r>
            <w:r w:rsidRPr="002F7DCF">
              <w:rPr>
                <w:rFonts w:ascii="Times New Roman" w:eastAsia="Times New Roman" w:hAnsi="Times New Roman" w:cs="Times New Roman"/>
                <w:sz w:val="20"/>
                <w:szCs w:val="20"/>
                <w:lang w:val="ru-RU" w:eastAsia="bg-BG"/>
              </w:rPr>
              <w:t>4</w:t>
            </w:r>
            <w:r w:rsidRPr="002F7DCF">
              <w:rPr>
                <w:rFonts w:ascii="Times New Roman" w:eastAsia="Times New Roman" w:hAnsi="Times New Roman" w:cs="Times New Roman"/>
                <w:sz w:val="20"/>
                <w:szCs w:val="20"/>
                <w:lang w:eastAsia="bg-BG"/>
              </w:rPr>
              <w:t xml:space="preserve"> г. </w:t>
            </w:r>
            <w:r w:rsidRPr="002F7DCF">
              <w:rPr>
                <w:rFonts w:ascii="Times New Roman" w:eastAsia="Times New Roman" w:hAnsi="Times New Roman" w:cs="Times New Roman"/>
                <w:bCs/>
                <w:i/>
                <w:sz w:val="20"/>
                <w:szCs w:val="20"/>
                <w:lang w:val="ru-RU" w:eastAsia="bg-BG"/>
              </w:rPr>
              <w:t>общият показател на бизнес климата</w:t>
            </w:r>
            <w:r w:rsidRPr="002F7DCF">
              <w:rPr>
                <w:rFonts w:ascii="Times New Roman" w:eastAsia="Times New Roman" w:hAnsi="Times New Roman" w:cs="Times New Roman"/>
                <w:b/>
                <w:bCs/>
                <w:sz w:val="20"/>
                <w:szCs w:val="20"/>
                <w:lang w:val="ru-RU" w:eastAsia="bg-BG"/>
              </w:rPr>
              <w:t xml:space="preserve"> </w:t>
            </w:r>
            <w:r w:rsidRPr="002F7DCF">
              <w:rPr>
                <w:rFonts w:ascii="Times New Roman" w:eastAsia="Times New Roman" w:hAnsi="Times New Roman" w:cs="Times New Roman"/>
                <w:bCs/>
                <w:i/>
                <w:sz w:val="20"/>
                <w:szCs w:val="20"/>
                <w:lang w:eastAsia="bg-BG"/>
              </w:rPr>
              <w:t>през м</w:t>
            </w:r>
            <w:r w:rsidRPr="002F7DCF">
              <w:rPr>
                <w:rFonts w:ascii="Times New Roman" w:eastAsia="Times New Roman" w:hAnsi="Times New Roman" w:cs="Times New Roman"/>
                <w:bCs/>
                <w:i/>
                <w:sz w:val="20"/>
                <w:szCs w:val="20"/>
                <w:lang w:val="ru-RU" w:eastAsia="bg-BG"/>
              </w:rPr>
              <w:t xml:space="preserve">. септември 2024 г. </w:t>
            </w:r>
            <w:r w:rsidRPr="002F7DCF">
              <w:rPr>
                <w:rFonts w:ascii="Times New Roman" w:eastAsia="Times New Roman" w:hAnsi="Times New Roman" w:cs="Times New Roman"/>
                <w:sz w:val="20"/>
                <w:szCs w:val="20"/>
                <w:lang w:val="ru-RU" w:eastAsia="bg-BG"/>
              </w:rPr>
              <w:t>се понижава с 1.0 пункт спрямо предходния месец (от 23.5% на 22.5%) в резултат на по-неблагоприятния бизнес климат в сектор промишленост.</w:t>
            </w:r>
          </w:p>
          <w:p w14:paraId="203EA71B" w14:textId="77777777" w:rsidR="002F7DCF" w:rsidRPr="002F7DCF" w:rsidRDefault="002F7DCF" w:rsidP="002F7DCF">
            <w:pPr>
              <w:spacing w:after="0" w:line="240" w:lineRule="auto"/>
              <w:jc w:val="center"/>
              <w:rPr>
                <w:rFonts w:ascii="Times New Roman" w:eastAsia="Times New Roman" w:hAnsi="Times New Roman" w:cs="Times New Roman"/>
                <w:noProof/>
                <w:sz w:val="24"/>
                <w:szCs w:val="24"/>
                <w:lang w:val="ru-RU"/>
              </w:rPr>
            </w:pPr>
            <w:r w:rsidRPr="002F7DCF">
              <w:rPr>
                <w:rFonts w:ascii="Times New Roman" w:eastAsia="Times New Roman" w:hAnsi="Times New Roman" w:cs="Times New Roman"/>
                <w:noProof/>
                <w:sz w:val="24"/>
                <w:szCs w:val="24"/>
                <w:lang w:val="ru-RU"/>
              </w:rPr>
              <w:drawing>
                <wp:inline distT="0" distB="0" distL="0" distR="0" wp14:anchorId="62708475" wp14:editId="11967A03">
                  <wp:extent cx="2829592" cy="1738298"/>
                  <wp:effectExtent l="0" t="0" r="8890" b="0"/>
                  <wp:docPr id="2459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745" name=""/>
                          <pic:cNvPicPr/>
                        </pic:nvPicPr>
                        <pic:blipFill>
                          <a:blip r:embed="rId24"/>
                          <a:stretch>
                            <a:fillRect/>
                          </a:stretch>
                        </pic:blipFill>
                        <pic:spPr>
                          <a:xfrm>
                            <a:off x="0" y="0"/>
                            <a:ext cx="2897206" cy="1779835"/>
                          </a:xfrm>
                          <a:prstGeom prst="rect">
                            <a:avLst/>
                          </a:prstGeom>
                        </pic:spPr>
                      </pic:pic>
                    </a:graphicData>
                  </a:graphic>
                </wp:inline>
              </w:drawing>
            </w:r>
          </w:p>
          <w:p w14:paraId="1E9D74ED" w14:textId="77777777" w:rsidR="002F7DCF" w:rsidRPr="002F7DCF" w:rsidRDefault="002F7DCF" w:rsidP="002F7DCF">
            <w:pPr>
              <w:spacing w:after="0" w:line="240" w:lineRule="auto"/>
              <w:jc w:val="both"/>
              <w:rPr>
                <w:rFonts w:ascii="Times New Roman" w:eastAsia="Times New Roman" w:hAnsi="Times New Roman" w:cs="Times New Roman"/>
                <w:sz w:val="12"/>
                <w:szCs w:val="16"/>
                <w:lang w:val="ru-RU" w:eastAsia="bg-BG"/>
              </w:rPr>
            </w:pPr>
            <w:r w:rsidRPr="002F7DCF">
              <w:rPr>
                <w:rFonts w:ascii="Times New Roman" w:eastAsia="Times New Roman" w:hAnsi="Times New Roman" w:cs="Times New Roman"/>
                <w:b/>
                <w:sz w:val="20"/>
                <w:szCs w:val="20"/>
                <w:lang w:eastAsia="bg-BG"/>
              </w:rPr>
              <w:tab/>
            </w:r>
            <w:r w:rsidRPr="002F7DCF">
              <w:rPr>
                <w:rFonts w:ascii="Times New Roman" w:eastAsia="Times New Roman" w:hAnsi="Times New Roman" w:cs="Times New Roman"/>
                <w:b/>
                <w:sz w:val="20"/>
                <w:szCs w:val="20"/>
                <w:lang w:eastAsia="bg-BG"/>
              </w:rPr>
              <w:tab/>
            </w:r>
            <w:r w:rsidRPr="002F7DCF">
              <w:rPr>
                <w:rFonts w:ascii="Times New Roman" w:eastAsia="Times New Roman" w:hAnsi="Times New Roman" w:cs="Times New Roman"/>
                <w:b/>
                <w:sz w:val="20"/>
                <w:szCs w:val="20"/>
                <w:lang w:eastAsia="bg-BG"/>
              </w:rPr>
              <w:tab/>
            </w:r>
            <w:r w:rsidRPr="002F7DCF">
              <w:rPr>
                <w:rFonts w:ascii="Times New Roman" w:eastAsia="Times New Roman" w:hAnsi="Times New Roman" w:cs="Times New Roman"/>
                <w:b/>
                <w:sz w:val="20"/>
                <w:szCs w:val="20"/>
                <w:lang w:eastAsia="bg-BG"/>
              </w:rPr>
              <w:tab/>
            </w:r>
            <w:r w:rsidRPr="002F7DCF">
              <w:rPr>
                <w:rFonts w:ascii="Times New Roman" w:eastAsia="Times New Roman" w:hAnsi="Times New Roman" w:cs="Times New Roman"/>
                <w:b/>
                <w:sz w:val="20"/>
                <w:szCs w:val="20"/>
                <w:lang w:eastAsia="bg-BG"/>
              </w:rPr>
              <w:tab/>
            </w:r>
            <w:r w:rsidRPr="002F7DCF">
              <w:rPr>
                <w:rFonts w:ascii="Times New Roman" w:eastAsia="Times New Roman" w:hAnsi="Times New Roman" w:cs="Times New Roman"/>
                <w:b/>
                <w:sz w:val="20"/>
                <w:szCs w:val="20"/>
                <w:lang w:eastAsia="bg-BG"/>
              </w:rPr>
              <w:tab/>
            </w:r>
            <w:r w:rsidRPr="002F7DCF">
              <w:rPr>
                <w:rFonts w:ascii="Times New Roman" w:eastAsia="Times New Roman" w:hAnsi="Times New Roman" w:cs="Times New Roman"/>
                <w:b/>
                <w:sz w:val="20"/>
                <w:szCs w:val="20"/>
                <w:lang w:eastAsia="bg-BG"/>
              </w:rPr>
              <w:tab/>
              <w:t xml:space="preserve">            </w:t>
            </w:r>
            <w:r w:rsidRPr="002F7DCF">
              <w:rPr>
                <w:rFonts w:ascii="Times New Roman" w:eastAsia="Times New Roman" w:hAnsi="Times New Roman" w:cs="Times New Roman"/>
                <w:sz w:val="12"/>
                <w:szCs w:val="16"/>
                <w:lang w:eastAsia="bg-BG"/>
              </w:rPr>
              <w:t>Източник: НСИ</w:t>
            </w:r>
          </w:p>
          <w:p w14:paraId="7B6AA1A9" w14:textId="77777777" w:rsidR="002F7DCF" w:rsidRPr="002F7DCF" w:rsidRDefault="002F7DCF" w:rsidP="002F7DCF">
            <w:pPr>
              <w:spacing w:after="0" w:line="240" w:lineRule="auto"/>
              <w:jc w:val="both"/>
              <w:rPr>
                <w:rFonts w:ascii="Times New Roman" w:eastAsia="Times New Roman" w:hAnsi="Times New Roman" w:cs="Times New Roman"/>
                <w:sz w:val="12"/>
                <w:szCs w:val="16"/>
                <w:lang w:val="ru-RU" w:eastAsia="bg-BG"/>
              </w:rPr>
            </w:pPr>
          </w:p>
          <w:p w14:paraId="44C8D3D2"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ru-RU" w:eastAsia="bg-BG"/>
              </w:rPr>
            </w:pPr>
            <w:r w:rsidRPr="002F7DCF">
              <w:rPr>
                <w:rFonts w:ascii="Times New Roman" w:eastAsia="Times New Roman" w:hAnsi="Times New Roman" w:cs="Times New Roman"/>
                <w:sz w:val="20"/>
                <w:szCs w:val="20"/>
                <w:lang w:val="ru-RU" w:eastAsia="bg-BG"/>
              </w:rPr>
              <w:t xml:space="preserve"> През септември 2024 г. съставният показател </w:t>
            </w:r>
            <w:r w:rsidRPr="002F7DCF">
              <w:rPr>
                <w:rFonts w:ascii="Times New Roman" w:eastAsia="Times New Roman" w:hAnsi="Times New Roman" w:cs="Times New Roman"/>
                <w:i/>
                <w:sz w:val="20"/>
                <w:szCs w:val="20"/>
                <w:lang w:val="ru-RU" w:eastAsia="bg-BG"/>
              </w:rPr>
              <w:t>„бизнес климат в промишлеността“</w:t>
            </w:r>
            <w:r w:rsidRPr="002F7DCF">
              <w:rPr>
                <w:rFonts w:ascii="Times New Roman" w:eastAsia="Times New Roman" w:hAnsi="Times New Roman" w:cs="Times New Roman"/>
                <w:sz w:val="20"/>
                <w:szCs w:val="20"/>
                <w:lang w:val="ru-RU" w:eastAsia="bg-BG"/>
              </w:rPr>
              <w:t xml:space="preserve"> </w:t>
            </w:r>
            <w:r w:rsidRPr="002F7DCF">
              <w:rPr>
                <w:rFonts w:ascii="Times New Roman" w:eastAsia="Times New Roman" w:hAnsi="Times New Roman" w:cs="Times New Roman"/>
                <w:sz w:val="20"/>
                <w:szCs w:val="20"/>
                <w:lang w:eastAsia="bg-BG"/>
              </w:rPr>
              <w:t>спада с 5.2 пункта (от 23.5% на 18.3%)</w:t>
            </w:r>
            <w:r w:rsidRPr="002F7DCF">
              <w:rPr>
                <w:rFonts w:ascii="Times New Roman" w:eastAsia="Times New Roman" w:hAnsi="Times New Roman" w:cs="Times New Roman"/>
                <w:sz w:val="20"/>
                <w:szCs w:val="20"/>
                <w:lang w:val="en-US" w:eastAsia="bg-BG"/>
              </w:rPr>
              <w:t>,</w:t>
            </w:r>
            <w:r w:rsidRPr="002F7DCF">
              <w:rPr>
                <w:rFonts w:ascii="Times New Roman" w:eastAsia="Times New Roman" w:hAnsi="Times New Roman" w:cs="Times New Roman"/>
                <w:sz w:val="20"/>
                <w:szCs w:val="20"/>
                <w:lang w:eastAsia="bg-BG"/>
              </w:rPr>
              <w:t xml:space="preserve"> което се дължи на резервираните оценки и очаквания на промишлените предприемачи за бизнес състоянието на предприятията. Настоящата производствена активност се оценява като намалена, като и прогнозите за дейността през следващите три месеца се влошават. Най-сериозните затруднения за дейността в сектора остават несигурната икономическа среда и недостигът на работна сила, посочени съответно от 51.2 и 30.4% от предприятията. Относно продажните цени в промишлеността преобладаващата част от мениджърите предвиждат те да останат без промяна през следващите три месеца</w:t>
            </w:r>
            <w:r w:rsidRPr="002F7DCF">
              <w:rPr>
                <w:rFonts w:ascii="Times New Roman" w:eastAsia="Times New Roman" w:hAnsi="Times New Roman" w:cs="Times New Roman"/>
                <w:sz w:val="20"/>
                <w:szCs w:val="20"/>
                <w:lang w:val="ru-RU" w:eastAsia="bg-BG"/>
              </w:rPr>
              <w:t xml:space="preserve">. </w:t>
            </w:r>
          </w:p>
          <w:p w14:paraId="6772E9D7"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ru-RU" w:eastAsia="bg-BG"/>
              </w:rPr>
            </w:pPr>
          </w:p>
          <w:p w14:paraId="3E81D30B"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ru-RU" w:eastAsia="bg-BG"/>
              </w:rPr>
            </w:pPr>
            <w:r w:rsidRPr="002F7DCF">
              <w:rPr>
                <w:rFonts w:ascii="Times New Roman" w:eastAsia="Times New Roman" w:hAnsi="Times New Roman" w:cs="Times New Roman"/>
                <w:sz w:val="20"/>
                <w:szCs w:val="20"/>
                <w:lang w:val="ru-RU" w:eastAsia="bg-BG"/>
              </w:rPr>
              <w:t xml:space="preserve"> През септември 2024 г.</w:t>
            </w:r>
            <w:r w:rsidRPr="002F7DCF">
              <w:rPr>
                <w:rFonts w:ascii="Times New Roman" w:eastAsia="Times New Roman" w:hAnsi="Times New Roman" w:cs="Times New Roman"/>
                <w:sz w:val="20"/>
                <w:szCs w:val="20"/>
                <w:lang w:eastAsia="bg-BG"/>
              </w:rPr>
              <w:t xml:space="preserve"> </w:t>
            </w:r>
            <w:r w:rsidRPr="002F7DCF">
              <w:rPr>
                <w:rFonts w:ascii="Times New Roman" w:eastAsia="Times New Roman" w:hAnsi="Times New Roman" w:cs="Times New Roman"/>
                <w:i/>
                <w:sz w:val="20"/>
                <w:szCs w:val="20"/>
                <w:lang w:eastAsia="bg-BG"/>
              </w:rPr>
              <w:t>съставният показател „бизнес климат в строителството</w:t>
            </w:r>
            <w:r w:rsidRPr="002F7DCF">
              <w:rPr>
                <w:rFonts w:ascii="Times New Roman" w:eastAsia="Times New Roman" w:hAnsi="Times New Roman" w:cs="Times New Roman"/>
                <w:sz w:val="20"/>
                <w:szCs w:val="20"/>
                <w:lang w:eastAsia="bg-BG"/>
              </w:rPr>
              <w:t>“ остава на равнището си от август (от 23.3% на 23.4%). Очакванията на строителните предприемачи както за бизнес състоянието на предприятията през следващите шест месеца, така и за дейността през следващите три месеца, са оптимистични.</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Несигурната икономическа среда, недостигът на работна сила, цените на материалите и конкуренцията в бранша продължават да затрудняват в най-голяма степен развитието на бизнеса.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По отношение на продажните цени прогнозите на по-голяма част от строителните предприемачи са за запазване на тяхното равнище през следващите три месеца</w:t>
            </w:r>
            <w:r w:rsidRPr="002F7DCF">
              <w:rPr>
                <w:rFonts w:ascii="Times New Roman" w:eastAsia="Times New Roman" w:hAnsi="Times New Roman" w:cs="Times New Roman"/>
                <w:sz w:val="20"/>
                <w:szCs w:val="20"/>
                <w:lang w:val="ru-RU" w:eastAsia="bg-BG"/>
              </w:rPr>
              <w:t>.</w:t>
            </w:r>
          </w:p>
          <w:p w14:paraId="158A2317"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6F70F7E1"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val="ru-RU" w:eastAsia="bg-BG"/>
              </w:rPr>
              <w:t xml:space="preserve"> </w:t>
            </w:r>
            <w:r w:rsidRPr="002F7DCF">
              <w:rPr>
                <w:rFonts w:ascii="Times New Roman" w:eastAsia="Times New Roman" w:hAnsi="Times New Roman" w:cs="Times New Roman"/>
                <w:sz w:val="20"/>
                <w:szCs w:val="20"/>
                <w:lang w:eastAsia="bg-BG"/>
              </w:rPr>
              <w:t xml:space="preserve">През </w:t>
            </w:r>
            <w:r w:rsidRPr="002F7DCF">
              <w:rPr>
                <w:rFonts w:ascii="Times New Roman" w:eastAsia="Times New Roman" w:hAnsi="Times New Roman" w:cs="Times New Roman"/>
                <w:sz w:val="20"/>
                <w:szCs w:val="20"/>
                <w:lang w:val="ru-RU" w:eastAsia="bg-BG"/>
              </w:rPr>
              <w:t xml:space="preserve">септември </w:t>
            </w:r>
            <w:r w:rsidRPr="002F7DCF">
              <w:rPr>
                <w:rFonts w:ascii="Times New Roman" w:eastAsia="Times New Roman" w:hAnsi="Times New Roman" w:cs="Times New Roman"/>
                <w:sz w:val="20"/>
                <w:szCs w:val="20"/>
                <w:lang w:eastAsia="bg-BG"/>
              </w:rPr>
              <w:t xml:space="preserve">2024 г. </w:t>
            </w:r>
            <w:r w:rsidRPr="002F7DCF">
              <w:rPr>
                <w:rFonts w:ascii="Times New Roman" w:eastAsia="Times New Roman" w:hAnsi="Times New Roman" w:cs="Times New Roman"/>
                <w:i/>
                <w:sz w:val="20"/>
                <w:szCs w:val="20"/>
                <w:lang w:eastAsia="bg-BG"/>
              </w:rPr>
              <w:t>съставният показател „бизнес климат в сектора на услугите“</w:t>
            </w:r>
            <w:r w:rsidRPr="002F7DCF">
              <w:rPr>
                <w:rFonts w:ascii="Times New Roman" w:eastAsia="Times New Roman" w:hAnsi="Times New Roman" w:cs="Times New Roman"/>
                <w:sz w:val="20"/>
                <w:szCs w:val="20"/>
                <w:lang w:eastAsia="bg-BG"/>
              </w:rPr>
              <w:t xml:space="preserve"> запазва приблизително нивото си от предходния месец (от 16.8% на 17.2%). Относно търсенето на услуги настоящата тенденция се оценява като леко намалена, докато очакванията за следващите три месеца са благоприятни.</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Най-сериозните проблеми за развитието на бизнеса продължават да бъдат несигурната икономическа среда, конкуренцията в бранша и недостигът на работна сила.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По отношение на продажните цени в сектора на услугите прогнозите на мениджърите са те да запазят своето равнище през следващите три месеца.</w:t>
            </w:r>
          </w:p>
          <w:p w14:paraId="5BE25A5D"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15B183B8" w14:textId="77777777" w:rsidR="002F7DCF" w:rsidRPr="002F7DCF" w:rsidRDefault="002F7DCF" w:rsidP="002F7DCF">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r w:rsidRPr="002F7DCF">
              <w:rPr>
                <w:rFonts w:ascii="Times New Roman" w:eastAsia="Times New Roman" w:hAnsi="Times New Roman" w:cs="Times New Roman"/>
                <w:sz w:val="20"/>
                <w:szCs w:val="20"/>
                <w:lang w:eastAsia="bg-BG"/>
              </w:rPr>
              <w:t>Според макроикономическите прогнози на експертите от Евросистемата, изложени в Икономически бюлетин бр. </w:t>
            </w:r>
            <w:r w:rsidRPr="002F7DCF">
              <w:rPr>
                <w:rFonts w:ascii="Times New Roman" w:eastAsia="Times New Roman" w:hAnsi="Times New Roman" w:cs="Times New Roman"/>
                <w:sz w:val="20"/>
                <w:szCs w:val="20"/>
                <w:lang w:val="en-US" w:eastAsia="bg-BG"/>
              </w:rPr>
              <w:t>6</w:t>
            </w:r>
            <w:r w:rsidRPr="002F7DCF">
              <w:rPr>
                <w:rFonts w:ascii="Times New Roman" w:eastAsia="Times New Roman" w:hAnsi="Times New Roman" w:cs="Times New Roman"/>
                <w:sz w:val="20"/>
                <w:szCs w:val="20"/>
                <w:lang w:eastAsia="bg-BG"/>
              </w:rPr>
              <w:t>/2024 на Европейската централна банка, средногодишният растеж на реалния БВП се предвижда 0,8% през 2024 г. и да достигне 1,3% през 2025 г. и 1,5% през 2026 г. В</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сравнение с макроикономическите прогнози на експертите на Евросистемата от</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юни 2024 г. перспективата за растежа на БВП е ревизирана незначително</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надолу за всяка година от прогнозния период</w:t>
            </w:r>
            <w:r w:rsidRPr="002F7DCF">
              <w:rPr>
                <w:rFonts w:ascii="Times New Roman" w:eastAsia="Times New Roman" w:hAnsi="Times New Roman" w:cs="Times New Roman"/>
                <w:sz w:val="20"/>
                <w:szCs w:val="20"/>
                <w:lang w:val="ru-RU" w:eastAsia="bg-BG"/>
              </w:rPr>
              <w:t>.</w:t>
            </w:r>
          </w:p>
          <w:p w14:paraId="5616ECD4" w14:textId="77777777" w:rsidR="002F7DCF" w:rsidRPr="002F7DCF" w:rsidRDefault="002F7DCF" w:rsidP="002F7DCF">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r w:rsidRPr="002F7DCF">
              <w:rPr>
                <w:rFonts w:ascii="Times New Roman" w:eastAsia="Times New Roman" w:hAnsi="Times New Roman" w:cs="Times New Roman"/>
                <w:sz w:val="20"/>
                <w:szCs w:val="20"/>
                <w:lang w:eastAsia="bg-BG"/>
              </w:rPr>
              <w:t>Фискалните и структурните политики трябва да бъдат насочени към по-продуктивна и конкурентоспособна икономика, което ще спомогне за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повишаване на потенциалния растеж и намаляване на ценовия натиск в</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средносрочен план. Докладът на Марио Драги за бъдещето на европейската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конкурентоспособност и докладът на Енрико Лета за засилване на единния</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пазар подчертават спешната необходимост от реформа и съдържат конкретни</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предложения за осъществяването ѝ. Пълното, прозрачно и незабавно</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прилагане на преработената рамка на ЕС за икономическо управление ще</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помогне на правителствата да намалят устойчиво бюджетните дефицити и</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съотношението на дълга. Сега те трябва да предприемат решителни мерки в</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тази посока в средносрочните си планове за фискални и структурни политики.</w:t>
            </w:r>
          </w:p>
          <w:p w14:paraId="488869B1" w14:textId="77777777" w:rsidR="002F7DCF" w:rsidRPr="002F7DCF" w:rsidRDefault="002F7DCF" w:rsidP="002F7DCF">
            <w:pPr>
              <w:autoSpaceDE w:val="0"/>
              <w:autoSpaceDN w:val="0"/>
              <w:adjustRightInd w:val="0"/>
              <w:spacing w:after="0" w:line="240" w:lineRule="auto"/>
              <w:jc w:val="both"/>
              <w:rPr>
                <w:rFonts w:ascii="Times New Roman" w:eastAsia="Times New Roman" w:hAnsi="Times New Roman" w:cs="Times New Roman"/>
                <w:sz w:val="20"/>
                <w:szCs w:val="20"/>
                <w:lang w:eastAsia="bg-BG"/>
              </w:rPr>
            </w:pPr>
          </w:p>
        </w:tc>
      </w:tr>
      <w:tr w:rsidR="002F7DCF" w:rsidRPr="002F7DCF" w14:paraId="6895A6D5" w14:textId="77777777" w:rsidTr="00420430">
        <w:trPr>
          <w:jc w:val="center"/>
        </w:trPr>
        <w:tc>
          <w:tcPr>
            <w:tcW w:w="1770" w:type="dxa"/>
            <w:shd w:val="clear" w:color="auto" w:fill="auto"/>
          </w:tcPr>
          <w:p w14:paraId="4ED2782C"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bookmarkStart w:id="4" w:name="_Hlk156382422"/>
            <w:bookmarkEnd w:id="3"/>
            <w:r w:rsidRPr="002F7DCF">
              <w:rPr>
                <w:rFonts w:ascii="Times New Roman" w:eastAsia="Times New Roman" w:hAnsi="Times New Roman" w:cs="Times New Roman"/>
                <w:sz w:val="18"/>
                <w:szCs w:val="20"/>
                <w:lang w:eastAsia="bg-BG"/>
              </w:rPr>
              <w:t>ЛИХВЕН РИСК</w:t>
            </w:r>
          </w:p>
        </w:tc>
        <w:tc>
          <w:tcPr>
            <w:tcW w:w="8468" w:type="dxa"/>
            <w:shd w:val="clear" w:color="auto" w:fill="auto"/>
          </w:tcPr>
          <w:p w14:paraId="7B592206"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Лихвеният риск е свързан с възможни, евентуални, негативни промени в лихвените нива, установени от финансовите институции на Република България.</w:t>
            </w:r>
          </w:p>
          <w:p w14:paraId="257B2B8E" w14:textId="77777777" w:rsidR="002F7DCF" w:rsidRPr="002F7DCF" w:rsidRDefault="002F7DCF" w:rsidP="002F7DCF">
            <w:pPr>
              <w:autoSpaceDE w:val="0"/>
              <w:autoSpaceDN w:val="0"/>
              <w:adjustRightInd w:val="0"/>
              <w:spacing w:after="0" w:line="240" w:lineRule="auto"/>
              <w:jc w:val="both"/>
              <w:rPr>
                <w:rFonts w:ascii="Times New Roman" w:eastAsia="Times New Roman" w:hAnsi="Times New Roman" w:cs="Times New Roman"/>
                <w:sz w:val="20"/>
                <w:szCs w:val="20"/>
                <w:lang w:val="en-US" w:eastAsia="bg-BG"/>
              </w:rPr>
            </w:pPr>
            <w:r w:rsidRPr="002F7DCF">
              <w:rPr>
                <w:rFonts w:ascii="Times New Roman" w:eastAsia="Times New Roman" w:hAnsi="Times New Roman" w:cs="Times New Roman"/>
                <w:sz w:val="20"/>
                <w:szCs w:val="20"/>
                <w:lang w:eastAsia="bg-BG"/>
              </w:rPr>
              <w:t>На своето заседание на 12 септември 2024 г. Управителният съвет на Европейската Централна Банка взе решение да намали с 25 базисни точки лихвения процент по депозитното улеснение,</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чрез който задава курса на паричната политика. Въз основа на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актуализираната оценка на Управителния съвет за перспективата за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инфлацията, динамиката на основната инфлация и силата на трансмисионния</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механизъм на паричната политика беше целесъобразно да се предприеме още</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 xml:space="preserve">една стъпка към отслабване на рестриктивността на паричната политика. </w:t>
            </w:r>
          </w:p>
          <w:p w14:paraId="0142A54E" w14:textId="77777777" w:rsidR="002F7DCF" w:rsidRPr="002F7DCF" w:rsidRDefault="002F7DCF" w:rsidP="002F7DCF">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Пазарните лихвени проценти намаляха осезаемо след заседанието на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Управителния съвет на 18 юли 2024 г., най-вече поради по-слаба перспектива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за глобалния растеж и намаляващи опасения за инфлационен натиск.</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Напрежение на световните пазари през лятото доведе до временно затягане на</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 xml:space="preserve">финансовите условия в по-рисковите пазарни сегменти.  </w:t>
            </w:r>
          </w:p>
          <w:p w14:paraId="74CC5615" w14:textId="77777777" w:rsidR="002F7DCF" w:rsidRPr="002F7DCF" w:rsidRDefault="002F7DCF" w:rsidP="002F7DCF">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Актуалните данни за инфлацията в общи линии отговарят на очакванията, а макроикономическите прогнози на експертите на ЕЦБ от септември 2024 г. потвърждават предходните предвиждания за нея. Експертите от ЕЦБ очакват общата инфлация да бъде средно 2,5% през 2024 г., 2,2% през 2025 г. и 1,9% през 2026 г., както е посочено в макроикономическите прогнози на експертите на Евросистемата от юни 2024 г. Очаква се инфлацията да нарасне отново към края на годината, отчасти защото предишните резки спадове на цените на енергоносителите ще отпаднат при изчисляването на годишния темп. След това тя следва да се понижава към целевото равнище на Управителния съвет през втората половина на следващата година.</w:t>
            </w:r>
            <w:r w:rsidRPr="002F7DCF">
              <w:rPr>
                <w:rFonts w:ascii="Times New Roman" w:eastAsia="Times New Roman" w:hAnsi="Times New Roman" w:cs="Times New Roman"/>
                <w:sz w:val="20"/>
                <w:szCs w:val="20"/>
                <w:lang w:val="ru-RU" w:eastAsia="bg-BG"/>
              </w:rPr>
              <w:t xml:space="preserve"> </w:t>
            </w:r>
          </w:p>
          <w:p w14:paraId="5E0F5F09" w14:textId="77777777" w:rsidR="002F7DCF" w:rsidRPr="002F7DCF" w:rsidRDefault="002F7DCF" w:rsidP="002F7DCF">
            <w:pPr>
              <w:autoSpaceDE w:val="0"/>
              <w:autoSpaceDN w:val="0"/>
              <w:adjustRightInd w:val="0"/>
              <w:spacing w:after="0" w:line="240" w:lineRule="auto"/>
              <w:jc w:val="both"/>
              <w:rPr>
                <w:rFonts w:ascii="Times New Roman" w:eastAsia="Times New Roman" w:hAnsi="Times New Roman" w:cs="Times New Roman"/>
                <w:sz w:val="20"/>
                <w:szCs w:val="20"/>
                <w:lang w:eastAsia="bg-BG"/>
              </w:rPr>
            </w:pPr>
          </w:p>
          <w:p w14:paraId="0EBDC7F2" w14:textId="77777777" w:rsidR="002F7DCF" w:rsidRPr="002F7DCF" w:rsidRDefault="002F7DCF" w:rsidP="002F7DCF">
            <w:pPr>
              <w:spacing w:after="0" w:line="240" w:lineRule="auto"/>
              <w:jc w:val="center"/>
              <w:rPr>
                <w:rFonts w:ascii="Times New Roman" w:eastAsia="Times New Roman" w:hAnsi="Times New Roman" w:cs="Times New Roman"/>
                <w:sz w:val="20"/>
                <w:szCs w:val="20"/>
                <w:lang w:eastAsia="bg-BG"/>
              </w:rPr>
            </w:pPr>
            <w:r w:rsidRPr="002F7DCF">
              <w:rPr>
                <w:rFonts w:ascii="Times New Roman" w:eastAsia="Times New Roman" w:hAnsi="Times New Roman" w:cs="Times New Roman"/>
                <w:noProof/>
                <w:sz w:val="20"/>
                <w:szCs w:val="20"/>
                <w:lang w:eastAsia="bg-BG"/>
              </w:rPr>
              <w:drawing>
                <wp:inline distT="0" distB="0" distL="0" distR="0" wp14:anchorId="54D38215" wp14:editId="0033C1FC">
                  <wp:extent cx="2879766" cy="1625240"/>
                  <wp:effectExtent l="0" t="0" r="0" b="0"/>
                  <wp:docPr id="686192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02308" cy="1637962"/>
                          </a:xfrm>
                          <a:prstGeom prst="rect">
                            <a:avLst/>
                          </a:prstGeom>
                          <a:noFill/>
                        </pic:spPr>
                      </pic:pic>
                    </a:graphicData>
                  </a:graphic>
                </wp:inline>
              </w:drawing>
            </w:r>
          </w:p>
          <w:p w14:paraId="21AC4311" w14:textId="77777777" w:rsidR="002F7DCF" w:rsidRPr="002F7DCF" w:rsidRDefault="002F7DCF" w:rsidP="002F7DCF">
            <w:pPr>
              <w:spacing w:after="0" w:line="240" w:lineRule="auto"/>
              <w:ind w:left="6211" w:hanging="6211"/>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16"/>
                <w:szCs w:val="20"/>
                <w:lang w:eastAsia="bg-BG"/>
              </w:rPr>
              <w:t xml:space="preserve">                                                                                                                                                  *Източник:БНБ</w:t>
            </w:r>
          </w:p>
        </w:tc>
      </w:tr>
      <w:tr w:rsidR="002F7DCF" w:rsidRPr="002F7DCF" w14:paraId="01B846DE" w14:textId="77777777" w:rsidTr="00420430">
        <w:trPr>
          <w:jc w:val="center"/>
        </w:trPr>
        <w:tc>
          <w:tcPr>
            <w:tcW w:w="1770" w:type="dxa"/>
            <w:shd w:val="clear" w:color="auto" w:fill="auto"/>
          </w:tcPr>
          <w:p w14:paraId="502E3A68"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bookmarkStart w:id="5" w:name="_Hlk156382718"/>
            <w:bookmarkEnd w:id="4"/>
          </w:p>
          <w:p w14:paraId="18837962"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r w:rsidRPr="002F7DCF">
              <w:rPr>
                <w:rFonts w:ascii="Times New Roman" w:eastAsia="Times New Roman" w:hAnsi="Times New Roman" w:cs="Times New Roman"/>
                <w:sz w:val="18"/>
                <w:szCs w:val="20"/>
                <w:lang w:eastAsia="bg-BG"/>
              </w:rPr>
              <w:t>ИНФЛАЦИОНЕН РИСК</w:t>
            </w:r>
          </w:p>
        </w:tc>
        <w:tc>
          <w:tcPr>
            <w:tcW w:w="8468" w:type="dxa"/>
            <w:shd w:val="clear" w:color="auto" w:fill="auto"/>
          </w:tcPr>
          <w:p w14:paraId="06D450AA"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1A2735BE"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Инфлационният риск представлява всеобщо повишаване на цените, при което парите се обезценяват и съществува вероятност от понасяне на загуба от домакинствата и фирмите.</w:t>
            </w:r>
          </w:p>
          <w:p w14:paraId="6D458566"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1F1B8FEB"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По данни на НСИ През януари 2024 г. месечната инфлация е 0.5%, а годишната инфлация за януари 2024 г. спрямо януари 2023 г. е 3.8% . Средногодишната инфлация за периода февруари 2023 - януари 2024 г. спрямо периода февруари 2022 - януари 2023 г. е 8.4%. </w:t>
            </w:r>
          </w:p>
          <w:p w14:paraId="7F6CF991"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sz w:val="20"/>
                <w:szCs w:val="20"/>
                <w:lang w:eastAsia="bg-BG"/>
              </w:rPr>
              <w:t xml:space="preserve"> </w:t>
            </w:r>
            <w:r w:rsidRPr="002F7DCF">
              <w:rPr>
                <w:rFonts w:ascii="Times New Roman" w:eastAsia="Times New Roman" w:hAnsi="Times New Roman" w:cs="Times New Roman"/>
                <w:sz w:val="20"/>
                <w:szCs w:val="20"/>
                <w:lang w:eastAsia="bg-BG"/>
              </w:rPr>
              <w:t>През януари 2024 г. месечната инфлация е 0.2%, а годишната инфлация за януари 2024 г. спрямо януари 2023 г. е 4.0%. Средногодишната инфлация за периода февруари 2023 - януари 2024 г. спрямо периода февруари 2022 - януари 2023 г. е 7.8%.</w:t>
            </w:r>
          </w:p>
          <w:p w14:paraId="12AF2FA8"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65C3FCCC" w14:textId="77777777" w:rsidR="002F7DCF" w:rsidRPr="002F7DCF" w:rsidRDefault="002F7DCF" w:rsidP="002F7DCF">
            <w:pPr>
              <w:spacing w:after="0" w:line="240" w:lineRule="auto"/>
              <w:jc w:val="both"/>
              <w:rPr>
                <w:rFonts w:ascii="Times New Roman" w:eastAsia="Times New Roman" w:hAnsi="Times New Roman" w:cs="Times New Roman"/>
                <w:bCs/>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bCs/>
                <w:sz w:val="20"/>
                <w:szCs w:val="20"/>
                <w:lang w:eastAsia="bg-BG"/>
              </w:rPr>
              <w:t xml:space="preserve"> През февруари 2024 г. месечната инфлация е 0.3%, а годишната инфлация за февруари 2024 г. спрямо февруари 2023 г. е 3.3% . Инфлацията от началото на годината (февруари 2024 г. спрямо декември 2023 г.) е 0.8%, а средногодишната инфлация за периода март 2023 - февруари 2024 г. спрямо периода март 2022 - февруари 2023 г. е 7.4%.</w:t>
            </w:r>
          </w:p>
          <w:p w14:paraId="2AC603DD"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sz w:val="20"/>
                <w:szCs w:val="20"/>
                <w:lang w:eastAsia="bg-BG"/>
              </w:rPr>
              <w:t xml:space="preserve"> </w:t>
            </w:r>
            <w:r w:rsidRPr="002F7DCF">
              <w:rPr>
                <w:rFonts w:ascii="Times New Roman" w:eastAsia="Times New Roman" w:hAnsi="Times New Roman" w:cs="Times New Roman"/>
                <w:sz w:val="20"/>
                <w:szCs w:val="20"/>
                <w:lang w:eastAsia="bg-BG"/>
              </w:rPr>
              <w:t>През февруари 2024 г. месечната инфлация е 0.3%, а годишната инфлация за февруари 2024 г. спрямо февруари 2023 г. е 3.5% . Инфлацията от началото на годината (февруари 2024 г. спрямо декември 2023 г.) е 0.4%, а средногодишната инфлация за периода март 2023 - февруари 2024 г. спрямо периода март 2022 - февруари 2023 г. е 6.9%.</w:t>
            </w:r>
          </w:p>
          <w:p w14:paraId="098F0264"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4E5B6648"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През март 2024 г. месечната инфлация е 0.2%, а годишната инфлация за март 2024 г. спрямо март 2023 г. е 3.0%. Инфлацията от началото на годината (март 2024 г. спрямо декември 2023 г.) е 1.0%, а средногодишната инфлация за периода април 2023 - март 2024 г. спрямо периода април 2022 - март 2023 г. е 6.5%.</w:t>
            </w:r>
          </w:p>
          <w:p w14:paraId="236FBB97"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sz w:val="20"/>
                <w:szCs w:val="20"/>
                <w:lang w:eastAsia="bg-BG"/>
              </w:rPr>
              <w:t xml:space="preserve"> </w:t>
            </w:r>
            <w:r w:rsidRPr="002F7DCF">
              <w:rPr>
                <w:rFonts w:ascii="Times New Roman" w:eastAsia="Times New Roman" w:hAnsi="Times New Roman" w:cs="Times New Roman"/>
                <w:sz w:val="20"/>
                <w:szCs w:val="20"/>
                <w:lang w:eastAsia="bg-BG"/>
              </w:rPr>
              <w:t>През март 2024 г. месечната инфлация е 0.2%, а годишната инфлация за март 2024 г. спрямо март 2023 г. е 3.1%. Инфлацията от началото на годината (март 2024 г. спрямо декември 2023 г.) е 0.7%, а средногодишната инфлация за периода април 2023 - март 2024 г. спрямо периода април 2022 - март 2023 г. е 6.2%.</w:t>
            </w:r>
          </w:p>
          <w:p w14:paraId="107C44C2"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0A668319"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През април 2024 г. месечната инфлация е -0.3%, а годишната инфлация за април 2024 г. спрямо април 2023 г. е 2.4%. Инфлацията от началото на годината (април 2024 г. спрямо декември 2023 г.) е 0.7%, а средногодишната инфлация за периода май 2023 - април 2024 г. спрямо периода май 2022 - април 2023 г. е 5.7%.</w:t>
            </w:r>
          </w:p>
          <w:p w14:paraId="19C0078A"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sz w:val="20"/>
                <w:szCs w:val="20"/>
                <w:lang w:eastAsia="bg-BG"/>
              </w:rPr>
              <w:t xml:space="preserve"> </w:t>
            </w:r>
            <w:r w:rsidRPr="002F7DCF">
              <w:rPr>
                <w:rFonts w:ascii="Times New Roman" w:eastAsia="Times New Roman" w:hAnsi="Times New Roman" w:cs="Times New Roman"/>
                <w:sz w:val="20"/>
                <w:szCs w:val="20"/>
                <w:lang w:eastAsia="bg-BG"/>
              </w:rPr>
              <w:t>През април 2024 г. месечната инфлация е -0.1%, а годишната инфлация за април 2024 г. спрямо април 2023 г. е 2.5%. Инфлацията от началото на годината (април 2024 г. спрямо декември 2023 г.) е 0.6%, а средногодишната инфлация за периода май 2023 - април 2024 г. спрямо периода май 2022 - април 2023 г. е 5.5%.</w:t>
            </w:r>
          </w:p>
          <w:p w14:paraId="76EDE81C"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1FEE761B"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През май 2024 г. месечната инфлация е -0.2%, а годишната инфлация за май 2024 г. спрямо май 2023 г. е 2.3%. Инфлацията от началото на годината (май 2024 г. спрямо декември 2023 г.) е 0.4%, а средногодишната инфлация за периода юни 2023 - май 2024 г. Спрямо</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периода юни 2022 - май 2023 г. е 5.1%.</w:t>
            </w:r>
          </w:p>
          <w:p w14:paraId="1A35AE12"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sz w:val="20"/>
                <w:szCs w:val="20"/>
                <w:lang w:eastAsia="bg-BG"/>
              </w:rPr>
              <w:t xml:space="preserve"> </w:t>
            </w:r>
            <w:r w:rsidRPr="002F7DCF">
              <w:rPr>
                <w:rFonts w:ascii="Times New Roman" w:eastAsia="Times New Roman" w:hAnsi="Times New Roman" w:cs="Times New Roman"/>
                <w:sz w:val="20"/>
                <w:szCs w:val="20"/>
                <w:lang w:eastAsia="bg-BG"/>
              </w:rPr>
              <w:t>През май 2024 г. месечната инфлация е 0.0%, а годишната инфлация за май 2024 г. спрямо май 2023 г. е 2.7%. Инфлацията от началото на годината (май 2024 г. спрямо декември 2023 г.) е 0.6%, а средногодишната инфлация за периода юни 2023 - май 2024 г. спрямо периода юни 2022 - май 2023 г. е 5.1%.</w:t>
            </w:r>
          </w:p>
          <w:p w14:paraId="1863AE3A"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431F97B3"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en-US"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През юни 2024 г. месечната инфлация е -0.2%, а годишната инфлация за юни 2024 г. спрямо юни 2023 г. е 2.5% . Инфлацията от началото на годината (юни 2024 г. спрямо декември 2023</w:t>
            </w:r>
            <w:r w:rsidRPr="002F7DCF">
              <w:rPr>
                <w:rFonts w:ascii="Times New Roman" w:eastAsia="Times New Roman" w:hAnsi="Times New Roman" w:cs="Times New Roman"/>
                <w:sz w:val="20"/>
                <w:szCs w:val="20"/>
                <w:lang w:val="en-US" w:eastAsia="bg-BG"/>
              </w:rPr>
              <w:t> </w:t>
            </w:r>
            <w:r w:rsidRPr="002F7DCF">
              <w:rPr>
                <w:rFonts w:ascii="Times New Roman" w:eastAsia="Times New Roman" w:hAnsi="Times New Roman" w:cs="Times New Roman"/>
                <w:sz w:val="20"/>
                <w:szCs w:val="20"/>
                <w:lang w:eastAsia="bg-BG"/>
              </w:rPr>
              <w:t>г.) е 0.2%, а средногодишната инфлация за периода юли 2023 - юни 2024 г. спрямо периода юли 2022 - юни 2023 г. е 4.6%.</w:t>
            </w:r>
          </w:p>
          <w:p w14:paraId="2E0B8372"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sz w:val="20"/>
                <w:szCs w:val="20"/>
                <w:lang w:eastAsia="bg-BG"/>
              </w:rPr>
              <w:t xml:space="preserve"> </w:t>
            </w:r>
            <w:r w:rsidRPr="002F7DCF">
              <w:rPr>
                <w:rFonts w:ascii="Times New Roman" w:eastAsia="Times New Roman" w:hAnsi="Times New Roman" w:cs="Times New Roman"/>
                <w:sz w:val="20"/>
                <w:szCs w:val="20"/>
                <w:lang w:eastAsia="bg-BG"/>
              </w:rPr>
              <w:t>През юни 2024 г. месечната инфлация е 0.2%, а годишната инфлация за юни 2024 г. спрямо юни 2023 г. е 2.8% . Инфлацията от началото на годината (юни 2024 г. спрямо декември 2023</w:t>
            </w:r>
            <w:r w:rsidRPr="002F7DCF">
              <w:rPr>
                <w:rFonts w:ascii="Times New Roman" w:eastAsia="Times New Roman" w:hAnsi="Times New Roman" w:cs="Times New Roman"/>
                <w:sz w:val="20"/>
                <w:szCs w:val="20"/>
                <w:lang w:val="en-US" w:eastAsia="bg-BG"/>
              </w:rPr>
              <w:t> </w:t>
            </w:r>
            <w:r w:rsidRPr="002F7DCF">
              <w:rPr>
                <w:rFonts w:ascii="Times New Roman" w:eastAsia="Times New Roman" w:hAnsi="Times New Roman" w:cs="Times New Roman"/>
                <w:sz w:val="20"/>
                <w:szCs w:val="20"/>
                <w:lang w:eastAsia="bg-BG"/>
              </w:rPr>
              <w:t>г.) е 0.7%, а средногодишната инфлация за периода юли 2023 - юни 2024 г. спрямо периода юли 2022 - юни 2023 г. е 4.7%.</w:t>
            </w:r>
          </w:p>
          <w:p w14:paraId="0ABE88F4"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4A98B8A1"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През юли 2024 г. месечната инфлация е 0.8%, а годишната инфлация за юли 2024 г. спрямо юли 2023 г. е 2.4% . Инфлацията от началото на годината (юли 2024 г. спрямо декември 2023 г.) е 1.1%, а средногодишната инфлация за периода август 2023 - юли 2024 г. спрямо периода август 2022 - юли 2023 г. е 4.1%.</w:t>
            </w:r>
          </w:p>
          <w:p w14:paraId="5FEFD6F9" w14:textId="77777777" w:rsidR="002F7DCF" w:rsidRPr="002F7DCF" w:rsidRDefault="002F7DCF" w:rsidP="002F7DCF">
            <w:pPr>
              <w:spacing w:after="0" w:line="240" w:lineRule="auto"/>
              <w:jc w:val="both"/>
              <w:rPr>
                <w:rFonts w:ascii="Times New Roman" w:eastAsia="Times New Roman" w:hAnsi="Times New Roman" w:cs="Times New Roman"/>
                <w:bCs/>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sz w:val="20"/>
                <w:szCs w:val="20"/>
                <w:lang w:eastAsia="bg-BG"/>
              </w:rPr>
              <w:t xml:space="preserve"> През юли 2024 г. месечната инфлация е 1.2%, а годишната инфлация за юли 2024 г. спрямо юли 2023 г. е 2.8% . Инфлацията от началото на годината (юли 2024 г. спрямо декември 2023 г.) е 1.9%, а средногодишната инфлация за периода август 2023 - юли 2024 г. спрямо периода август 2022 - юли 2023 г. е 4.3%.</w:t>
            </w:r>
          </w:p>
          <w:p w14:paraId="0F16EA2C" w14:textId="77777777" w:rsidR="002F7DCF" w:rsidRPr="002F7DCF" w:rsidRDefault="002F7DCF" w:rsidP="002F7DCF">
            <w:pPr>
              <w:spacing w:after="0" w:line="240" w:lineRule="auto"/>
              <w:jc w:val="both"/>
              <w:rPr>
                <w:rFonts w:ascii="Times New Roman" w:eastAsia="Times New Roman" w:hAnsi="Times New Roman" w:cs="Times New Roman"/>
                <w:bCs/>
                <w:sz w:val="20"/>
                <w:szCs w:val="20"/>
                <w:lang w:eastAsia="bg-BG"/>
              </w:rPr>
            </w:pPr>
          </w:p>
          <w:p w14:paraId="7D225A0B"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През август 2024 г. месечната инфлация е 0.1%, а годишната инфлация за август 2024 г. спрямо август 2023 г. е 2.1%.</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Инфлацията от началото на годината (август 2024 г. спрямо декември 2023 г.) е 1.2%, а средногодишната инфлация за периода септември 2023 - август 2024 г. спрямо периода септември 2022 - август 2023 г. е 3.6%.</w:t>
            </w:r>
          </w:p>
          <w:p w14:paraId="29E563D0"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Хармонизиран индекс на потребителските цени:</w:t>
            </w:r>
            <w:r w:rsidRPr="002F7DCF">
              <w:rPr>
                <w:rFonts w:ascii="Times New Roman" w:eastAsia="Times New Roman" w:hAnsi="Times New Roman" w:cs="Times New Roman"/>
                <w:bCs/>
                <w:i/>
                <w:iCs/>
                <w:sz w:val="20"/>
                <w:szCs w:val="20"/>
                <w:lang w:val="en-US" w:eastAsia="bg-BG"/>
              </w:rPr>
              <w:t xml:space="preserve"> </w:t>
            </w:r>
            <w:r w:rsidRPr="002F7DCF">
              <w:rPr>
                <w:rFonts w:ascii="Times New Roman" w:eastAsia="Times New Roman" w:hAnsi="Times New Roman" w:cs="Times New Roman"/>
                <w:bCs/>
                <w:sz w:val="20"/>
                <w:szCs w:val="20"/>
                <w:lang w:eastAsia="bg-BG"/>
              </w:rPr>
              <w:t>През август 2024 г. месечната инфлация е 0.1%, а годишната инфлация за август 2024 г. спрямо август 2023 г. е 2.4%.</w:t>
            </w:r>
            <w:r w:rsidRPr="002F7DCF">
              <w:rPr>
                <w:rFonts w:ascii="Times New Roman" w:eastAsia="Times New Roman" w:hAnsi="Times New Roman" w:cs="Times New Roman"/>
                <w:bCs/>
                <w:sz w:val="20"/>
                <w:szCs w:val="20"/>
                <w:lang w:val="en-US" w:eastAsia="bg-BG"/>
              </w:rPr>
              <w:t xml:space="preserve"> </w:t>
            </w:r>
            <w:r w:rsidRPr="002F7DCF">
              <w:rPr>
                <w:rFonts w:ascii="Times New Roman" w:eastAsia="Times New Roman" w:hAnsi="Times New Roman" w:cs="Times New Roman"/>
                <w:bCs/>
                <w:sz w:val="20"/>
                <w:szCs w:val="20"/>
                <w:lang w:eastAsia="bg-BG"/>
              </w:rPr>
              <w:t>Инфлацията от началото на годината (август 2024 г. спрямо декември 2023 г.) е 2.0%, а средногодишната инфлация за периода септември 2023 - август 2024 г. спрямо периода септември 2022 - август 2023 г. е 3.8%.</w:t>
            </w:r>
          </w:p>
          <w:p w14:paraId="6032FA4D"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1EB950B7"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Индекс на потребителските цени:</w:t>
            </w:r>
            <w:r w:rsidRPr="002F7DCF">
              <w:rPr>
                <w:rFonts w:ascii="Times New Roman" w:eastAsia="Times New Roman" w:hAnsi="Times New Roman" w:cs="Times New Roman"/>
                <w:sz w:val="20"/>
                <w:szCs w:val="20"/>
                <w:lang w:eastAsia="bg-BG"/>
              </w:rPr>
              <w:t xml:space="preserve"> През септември 2024 г. месечната инфлация е -1.0%, а годишната инфлация за септември 2024 г. спрямо септември 2023 г. е 1.2% . Инфлацията от началото на годината (септември 2024 г. спрямо декември 2023 г.) е 0.1%, а средногодишната инфлация за периода октомври 2023 - септември 2024 г. спрямо периода октомври 2022 - септември 2023 г. е 3.2%.</w:t>
            </w:r>
          </w:p>
          <w:p w14:paraId="465A2FCE"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bCs/>
                <w:i/>
                <w:iCs/>
                <w:sz w:val="20"/>
                <w:szCs w:val="20"/>
                <w:lang w:eastAsia="bg-BG"/>
              </w:rPr>
              <w:t xml:space="preserve">Хармонизиран индекс на потребителските цени: </w:t>
            </w:r>
            <w:r w:rsidRPr="002F7DCF">
              <w:rPr>
                <w:rFonts w:ascii="Times New Roman" w:eastAsia="Times New Roman" w:hAnsi="Times New Roman" w:cs="Times New Roman"/>
                <w:bCs/>
                <w:sz w:val="20"/>
                <w:szCs w:val="20"/>
                <w:lang w:eastAsia="bg-BG"/>
              </w:rPr>
              <w:t>През септември 2024 г. месечната инфлация е -1.1%, а годишната инфлация за септември 2024 г. спрямо септември 2023 г. е 1.5%. Инфлацията от началото на годината (септември 2024 г. спрямо декември 2023 г.) е 0.8%, а средногодишната инфлация за периода октомври 2023 - септември 2024 г. спрямо периода октомври 2022 - септември 2023 г. е 3.4%.</w:t>
            </w:r>
          </w:p>
          <w:p w14:paraId="0CE8DBF0"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5C4A4174" w14:textId="77777777" w:rsidR="002F7DCF" w:rsidRPr="002F7DCF" w:rsidRDefault="002F7DCF" w:rsidP="002F7DCF">
            <w:pPr>
              <w:spacing w:after="0" w:line="240" w:lineRule="auto"/>
              <w:jc w:val="center"/>
              <w:rPr>
                <w:rFonts w:ascii="Times New Roman" w:eastAsia="Times New Roman" w:hAnsi="Times New Roman" w:cs="Times New Roman"/>
                <w:bCs/>
                <w:sz w:val="20"/>
                <w:szCs w:val="20"/>
                <w:lang w:eastAsia="bg-BG"/>
              </w:rPr>
            </w:pPr>
            <w:r w:rsidRPr="002F7DCF">
              <w:rPr>
                <w:rFonts w:ascii="Times New Roman" w:eastAsia="Times New Roman" w:hAnsi="Times New Roman" w:cs="Times New Roman"/>
                <w:bCs/>
                <w:noProof/>
                <w:sz w:val="20"/>
                <w:szCs w:val="20"/>
                <w:lang w:eastAsia="bg-BG"/>
              </w:rPr>
              <w:drawing>
                <wp:inline distT="0" distB="0" distL="0" distR="0" wp14:anchorId="0DFECBD7" wp14:editId="6C77A7F8">
                  <wp:extent cx="2749138" cy="1555663"/>
                  <wp:effectExtent l="0" t="0" r="0" b="6985"/>
                  <wp:docPr id="2018384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4527" cy="1564371"/>
                          </a:xfrm>
                          <a:prstGeom prst="rect">
                            <a:avLst/>
                          </a:prstGeom>
                          <a:noFill/>
                        </pic:spPr>
                      </pic:pic>
                    </a:graphicData>
                  </a:graphic>
                </wp:inline>
              </w:drawing>
            </w:r>
          </w:p>
          <w:p w14:paraId="27BDF2FB" w14:textId="77777777" w:rsidR="002F7DCF" w:rsidRPr="002F7DCF" w:rsidRDefault="002F7DCF" w:rsidP="00420430">
            <w:pPr>
              <w:tabs>
                <w:tab w:val="left" w:pos="5512"/>
                <w:tab w:val="left" w:pos="6230"/>
                <w:tab w:val="left" w:pos="6797"/>
              </w:tabs>
              <w:spacing w:after="0" w:line="240" w:lineRule="auto"/>
              <w:ind w:right="1043"/>
              <w:jc w:val="right"/>
              <w:rPr>
                <w:rFonts w:ascii="Times New Roman" w:eastAsia="Times New Roman" w:hAnsi="Times New Roman" w:cs="Times New Roman"/>
                <w:sz w:val="12"/>
                <w:szCs w:val="16"/>
                <w:lang w:eastAsia="bg-BG"/>
              </w:rPr>
            </w:pPr>
            <w:r w:rsidRPr="002F7DCF">
              <w:rPr>
                <w:rFonts w:ascii="Times New Roman" w:eastAsia="Times New Roman" w:hAnsi="Times New Roman" w:cs="Times New Roman"/>
                <w:sz w:val="12"/>
                <w:szCs w:val="16"/>
                <w:lang w:eastAsia="bg-BG"/>
              </w:rPr>
              <w:t>*Източник:НСИ</w:t>
            </w:r>
          </w:p>
          <w:p w14:paraId="3D1F59FB" w14:textId="77777777" w:rsidR="002F7DCF" w:rsidRPr="002F7DCF" w:rsidRDefault="002F7DCF" w:rsidP="002F7DCF">
            <w:pPr>
              <w:tabs>
                <w:tab w:val="left" w:pos="5512"/>
              </w:tabs>
              <w:spacing w:after="0" w:line="240" w:lineRule="auto"/>
              <w:ind w:right="1043"/>
              <w:jc w:val="right"/>
              <w:rPr>
                <w:rFonts w:ascii="Times New Roman" w:eastAsia="Times New Roman" w:hAnsi="Times New Roman" w:cs="Times New Roman"/>
                <w:sz w:val="12"/>
                <w:szCs w:val="16"/>
                <w:lang w:eastAsia="bg-BG"/>
              </w:rPr>
            </w:pPr>
          </w:p>
          <w:p w14:paraId="76CBC101" w14:textId="77777777" w:rsidR="002F7DCF" w:rsidRPr="002F7DCF" w:rsidRDefault="002F7DCF" w:rsidP="002F7DCF">
            <w:pPr>
              <w:spacing w:after="0" w:line="240" w:lineRule="auto"/>
              <w:jc w:val="right"/>
              <w:rPr>
                <w:rFonts w:ascii="Times New Roman" w:eastAsia="Times New Roman" w:hAnsi="Times New Roman" w:cs="Times New Roman"/>
                <w:sz w:val="16"/>
                <w:szCs w:val="16"/>
                <w:lang w:eastAsia="bg-BG"/>
              </w:rPr>
            </w:pPr>
          </w:p>
        </w:tc>
      </w:tr>
      <w:tr w:rsidR="002F7DCF" w:rsidRPr="002F7DCF" w14:paraId="7D693134" w14:textId="77777777" w:rsidTr="00420430">
        <w:trPr>
          <w:jc w:val="center"/>
        </w:trPr>
        <w:tc>
          <w:tcPr>
            <w:tcW w:w="1770" w:type="dxa"/>
            <w:shd w:val="clear" w:color="auto" w:fill="auto"/>
          </w:tcPr>
          <w:p w14:paraId="15835DBC"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bookmarkStart w:id="6" w:name="_Hlk156383311"/>
            <w:bookmarkEnd w:id="5"/>
            <w:r w:rsidRPr="002F7DCF">
              <w:rPr>
                <w:rFonts w:ascii="Times New Roman" w:eastAsia="Times New Roman" w:hAnsi="Times New Roman" w:cs="Times New Roman"/>
                <w:sz w:val="18"/>
                <w:szCs w:val="20"/>
                <w:lang w:eastAsia="bg-BG"/>
              </w:rPr>
              <w:t>ВАЛУТЕН РИСК</w:t>
            </w:r>
          </w:p>
        </w:tc>
        <w:tc>
          <w:tcPr>
            <w:tcW w:w="8468" w:type="dxa"/>
            <w:shd w:val="clear" w:color="auto" w:fill="auto"/>
          </w:tcPr>
          <w:p w14:paraId="6BAFB9C8"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Експозицията към валутния риск представлява зависимостта и ефектите от изменението на валутните курсове. Систематичният валутен риск е вероятността от евентуална промяна на валутния режим на страната (валутен борд), което би довело или до обезценяване на лева или до поскъпване на лева спрямо чуждестранните валути.</w:t>
            </w:r>
          </w:p>
          <w:p w14:paraId="4F771F3F"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 xml:space="preserve">Валутният риск ще има влияния върху компании, имащи пазарни дялове, плащанията на които се извършват във валута, различна от лева и еврото. Българският лев е фиксиран към еврото в съотношение EUR 1 = BGN 1.95583, а Българската народна банка е длъжна да подържа ниво на българските левове в обръщение, равно на валутните резерви на банката, рискът от обезценяване на лева спрямо европейската валута е минимален и се състои във евентуално предсрочно премахване на валутния борд в страната. Очакванията са валутният борд да бъде отменен при приемането на еврото в България за официална платежна единица. </w:t>
            </w:r>
          </w:p>
          <w:p w14:paraId="27F69BD0"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На свое заседание на 30.06.2021 г. Координационният съвет за подготовка на Република България за членство в еврозоната прие проект на Национален план за въвеждане на еврото в Република България. Ангажиментът на България за приемане на единната европейска валута е препотвърден в Договора за присъединяването на Република България и Румъния към Европейския съюз, след като първоначално е заявен при започване на преговорите на страната ни за членство в ЕС.</w:t>
            </w:r>
          </w:p>
          <w:p w14:paraId="3AC451EE"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Според Отчет за дейността на министерството на финансите за периода 9 април - 26 август 2024 г. на 12 април 2024 г. беше подписано Споразумение за партньорство между Европейската комисия (ЕК) и Република България за организиране на информационни и комуникационни кампании относно въвеждането на еврото в страната. Документът предвижда координиране на усилията на българските и европейските власти с цел повишаване на обществената информираност за функционирането на Икономическия и паричен съюз, както и да се подпомогне плавната смяна на лева с евро. На 26 юни 2024 г. Европейската комисия (ЕК) и Европейската централна банка (ЕЦБ) публикуваха конвергентните доклади за 2024 г., в които представят оценката си за напредъка по пътя към еврозоната, постигнат от шестте държави членки, задължени да приемат еврото: България, Чехия, Унгария, Полша, Румъния и Швеция. Според тазгодишните конвергентни доклади България продължава устойчиво да покрива три от четирите числови критерия за членство, а именно този за стабилност на публичните финанси (бюджетно салдо и държавен дълг), за валутния курс и за дългосрочния лихвен процент. България не изпълнява единствено критерия за ценова стабилност, като очакванията са инфлацията да се понижи през следващите месеци, което би позволило на България да изпълни и последното предизвикателство пред членството й в еврозоната В докладите се отбелязва, че от шестте разглеждани държави само законодателството на България може да се счита за съвместимо с правото на ЕС при спазване на условията и тълкуванията, посочени в докладите. В контекста на пълноправното членство в еврозоната България следва да продължи стъпките си към осигуряването на стабилна и предвидима бизнес среда и институционална рамка за постигането на устойчива конвергенция с държавите от еврозоната.</w:t>
            </w:r>
          </w:p>
          <w:p w14:paraId="1887E95C"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3110365B"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val="ru-RU" w:eastAsia="bg-BG"/>
              </w:rPr>
              <w:t xml:space="preserve">На 24.05.2024 г. по данни на Министерството на финансите Международната рейтингова агенция </w:t>
            </w:r>
            <w:r w:rsidRPr="002F7DCF">
              <w:rPr>
                <w:rFonts w:ascii="Times New Roman" w:eastAsia="Times New Roman" w:hAnsi="Times New Roman" w:cs="Times New Roman"/>
                <w:sz w:val="20"/>
                <w:szCs w:val="20"/>
                <w:lang w:eastAsia="bg-BG"/>
              </w:rPr>
              <w:t>S&amp;P Global Ratings е потвърдила дългосрочния и краткосрочния кредитен рейтинг на България в чуждестранна и местна валута 'BBB/A-2'. Перспективата пред рейтинга остава положителна, т.е. рейтингът може да бъде повишен в следващите две години, ако България се присъедини към еврозоната. Агенцията отбелязва, че ако бъде сформирано стабилно правителство бързо след изборите на 9 юни и се избегне продължителен период на нестабилност, какъвто имаше през 2021–2023 г., не се очаква да има съществено забавяне на присъединяването на България към еврозоната, съобщават от пресслужбата на Министерството на финансите. България все още не отговаря на критерия за ценова стабилност от критериите за конвергенция, които всички страни трябва да изпълнят, преди да се присъединят към еврозоната. S&amp;P Global Ratings посочва обаче, че дори България да не се присъедини към еврозоната през 2025 г., отлагането ще е за една година, или 1 януари 2026 г.</w:t>
            </w:r>
          </w:p>
          <w:p w14:paraId="560202EB"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p w14:paraId="2636E49D"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ru-RU" w:eastAsia="bg-BG"/>
              </w:rPr>
            </w:pPr>
            <w:r w:rsidRPr="002F7DCF">
              <w:rPr>
                <w:rFonts w:ascii="Times New Roman" w:eastAsia="Times New Roman" w:hAnsi="Times New Roman" w:cs="Times New Roman"/>
                <w:bCs/>
                <w:sz w:val="20"/>
                <w:szCs w:val="20"/>
                <w:lang w:eastAsia="bg-BG"/>
              </w:rPr>
              <w:t>По данни на БНБ от 30.09.202</w:t>
            </w:r>
            <w:r w:rsidRPr="002F7DCF">
              <w:rPr>
                <w:rFonts w:ascii="Times New Roman" w:eastAsia="Times New Roman" w:hAnsi="Times New Roman" w:cs="Times New Roman"/>
                <w:bCs/>
                <w:sz w:val="20"/>
                <w:szCs w:val="20"/>
                <w:lang w:val="ru-RU" w:eastAsia="bg-BG"/>
              </w:rPr>
              <w:t>4</w:t>
            </w:r>
            <w:r w:rsidRPr="002F7DCF">
              <w:rPr>
                <w:rFonts w:ascii="Times New Roman" w:eastAsia="Times New Roman" w:hAnsi="Times New Roman" w:cs="Times New Roman"/>
                <w:bCs/>
                <w:sz w:val="20"/>
                <w:szCs w:val="20"/>
                <w:lang w:eastAsia="bg-BG"/>
              </w:rPr>
              <w:t xml:space="preserve"> г. брутният външен дълг юли 2024 г. възлиза на 43 692 млн. евро (43.6% от БВП2), което е с 1229.9 млн. евро (2.9%) повече в сравнение с края на юли 2023 г. (42 462.2 млн. евро, 45.2% от БВП).</w:t>
            </w:r>
            <w:r w:rsidRPr="002F7DCF">
              <w:rPr>
                <w:rFonts w:ascii="Times New Roman" w:eastAsia="Times New Roman" w:hAnsi="Times New Roman" w:cs="Times New Roman"/>
                <w:bCs/>
                <w:sz w:val="20"/>
                <w:szCs w:val="20"/>
                <w:lang w:val="ru-RU" w:eastAsia="bg-BG"/>
              </w:rPr>
              <w:t xml:space="preserve"> </w:t>
            </w:r>
            <w:r w:rsidRPr="002F7DCF">
              <w:rPr>
                <w:rFonts w:ascii="Times New Roman" w:eastAsia="Times New Roman" w:hAnsi="Times New Roman" w:cs="Times New Roman"/>
                <w:bCs/>
                <w:sz w:val="20"/>
                <w:szCs w:val="20"/>
                <w:lang w:eastAsia="bg-BG"/>
              </w:rPr>
              <w:t>В края на юли 2024 г. краткосрочните задължения са 7825.2 млн. евро (17.9% от брутния дълг, 7.8% от БВП) и се повишават с 481.3 млн. евро (6.6%) спрямо юли 2023 г. (7343.9 млн. евро, 17.3% от дълга, 7.8% от БВП). Дългосрочните задължения възлизат на 35 866.8 млн. евро (82.1% от брутния дълг, 35.8% от БВП) в края на юли 2024 г., като нарастват със 748.6 млн. евро (2.1%) спрямо края на юли 2023 г. (35 118.2 млн. евро, 82.7% от дълга, 37.4% от БВП).</w:t>
            </w:r>
          </w:p>
          <w:p w14:paraId="22ED1C73" w14:textId="77777777" w:rsidR="002F7DCF" w:rsidRPr="002F7DCF" w:rsidRDefault="002F7DCF" w:rsidP="002F7DCF">
            <w:pPr>
              <w:spacing w:after="0" w:line="240" w:lineRule="auto"/>
              <w:jc w:val="both"/>
              <w:rPr>
                <w:rFonts w:ascii="Times New Roman" w:eastAsia="Times New Roman" w:hAnsi="Times New Roman" w:cs="Times New Roman"/>
                <w:sz w:val="20"/>
                <w:szCs w:val="20"/>
                <w:lang w:val="ru-RU" w:eastAsia="bg-BG"/>
              </w:rPr>
            </w:pPr>
          </w:p>
        </w:tc>
      </w:tr>
      <w:bookmarkEnd w:id="6"/>
      <w:tr w:rsidR="002F7DCF" w:rsidRPr="002F7DCF" w14:paraId="72179EC5" w14:textId="77777777" w:rsidTr="00420430">
        <w:trPr>
          <w:jc w:val="center"/>
        </w:trPr>
        <w:tc>
          <w:tcPr>
            <w:tcW w:w="1770" w:type="dxa"/>
            <w:shd w:val="clear" w:color="auto" w:fill="auto"/>
          </w:tcPr>
          <w:p w14:paraId="47919864"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r w:rsidRPr="002F7DCF">
              <w:rPr>
                <w:rFonts w:ascii="Times New Roman" w:eastAsia="Times New Roman" w:hAnsi="Times New Roman" w:cs="Times New Roman"/>
                <w:sz w:val="18"/>
                <w:szCs w:val="20"/>
                <w:lang w:eastAsia="bg-BG"/>
              </w:rPr>
              <w:t>ДАНЪЧЕН РИСК</w:t>
            </w:r>
          </w:p>
        </w:tc>
        <w:tc>
          <w:tcPr>
            <w:tcW w:w="8468" w:type="dxa"/>
            <w:shd w:val="clear" w:color="auto" w:fill="auto"/>
          </w:tcPr>
          <w:p w14:paraId="379021F3"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От определящо значение за финансовия резултат на компаниите е запазването на текущия данъчен режим. Няма гаранция, че данъчното законодателство, което е от пряко значение за дейността на Дружеството, няма да бъде изменено в посока, която да доведе до значителни непредвидени разходи и съответно да се отрази неблагоприятно на неговата печалба. Системата на данъчно облагане в България все още се развива, в резултат на което може да възникне противоречива данъчна практика.</w:t>
            </w:r>
          </w:p>
          <w:p w14:paraId="2F733727"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tc>
      </w:tr>
      <w:tr w:rsidR="002F7DCF" w:rsidRPr="002F7DCF" w14:paraId="227D7CFD" w14:textId="77777777" w:rsidTr="00420430">
        <w:trPr>
          <w:jc w:val="center"/>
        </w:trPr>
        <w:tc>
          <w:tcPr>
            <w:tcW w:w="1770" w:type="dxa"/>
            <w:shd w:val="clear" w:color="auto" w:fill="auto"/>
          </w:tcPr>
          <w:p w14:paraId="0F32CFF9"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bookmarkStart w:id="7" w:name="_Hlk156383650"/>
            <w:r w:rsidRPr="002F7DCF">
              <w:rPr>
                <w:rFonts w:ascii="Times New Roman" w:eastAsia="Times New Roman" w:hAnsi="Times New Roman" w:cs="Times New Roman"/>
                <w:sz w:val="18"/>
                <w:szCs w:val="20"/>
                <w:lang w:eastAsia="bg-BG"/>
              </w:rPr>
              <w:t>РИСКОВЕ, СВЪРЗАНИ С ВОЕННИТЕ КОНФЛИКТИ  В БЛИЗКИЯ ИЗТОК  И УКРАЙНА</w:t>
            </w:r>
            <w:bookmarkEnd w:id="7"/>
          </w:p>
        </w:tc>
        <w:tc>
          <w:tcPr>
            <w:tcW w:w="8468" w:type="dxa"/>
            <w:shd w:val="clear" w:color="auto" w:fill="auto"/>
          </w:tcPr>
          <w:p w14:paraId="2B614638"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bookmarkStart w:id="8" w:name="_Hlk156383731"/>
            <w:r w:rsidRPr="002F7DCF">
              <w:rPr>
                <w:rFonts w:ascii="Times New Roman" w:eastAsia="Times New Roman" w:hAnsi="Times New Roman" w:cs="Times New Roman"/>
                <w:sz w:val="20"/>
                <w:szCs w:val="20"/>
                <w:lang w:eastAsia="bg-BG"/>
              </w:rPr>
              <w:t>Военния конфликт в Близкия изток, в допълнение към продължаващия конфликт Русия-Украйна притежава потенциал да нанесе нов удар на икономическото доверие и то в момент, когато нарастваха надеждите за овладяване на ръста на цените, предизвикан от нахлуването на Русия в Украйна през 2022 г.</w:t>
            </w:r>
            <w:r w:rsidRPr="002F7DCF">
              <w:rPr>
                <w:rFonts w:ascii="Times New Roman" w:eastAsia="Times New Roman" w:hAnsi="Times New Roman" w:cs="Times New Roman"/>
                <w:sz w:val="20"/>
                <w:szCs w:val="20"/>
                <w:lang w:val="en-US" w:eastAsia="bg-BG"/>
              </w:rPr>
              <w:t xml:space="preserve"> </w:t>
            </w:r>
            <w:r w:rsidRPr="002F7DCF">
              <w:rPr>
                <w:rFonts w:ascii="Times New Roman" w:eastAsia="Times New Roman" w:hAnsi="Times New Roman" w:cs="Times New Roman"/>
                <w:sz w:val="20"/>
                <w:szCs w:val="20"/>
                <w:lang w:eastAsia="bg-BG"/>
              </w:rPr>
              <w:t xml:space="preserve">Според водещи икономисти, краткосрочните перспективи за световната икономика се стабилизират, но се очертават много уязвимости. Има причини за предпазлив оптимизъм, основан на намаляване на инфлацията и устойчивостта на световната икономика, въпреки драматичните сътресения от последните години. Дори икономиката в световен мащаб да се стабилизира, тя го прави по начин като достига до най-слабото ниво от десетилетие. Международният валутен фонд (МВФ) прогнозира, че глобалният растеж ще се понижи от 3.2% през 2024 г. до 3.1% през 2029 г. Тази прогноза, отчита политическата нестабилност в много страни, което обосновава и бъдещи предизвикателства пред развитието на икономиките, което може да попречи на разработването на ефективни политики по редица проблемни теми. Това ще направи икономиките по-уязвими от бъдещи икономически сътресения. Фондовите пазари вече отчетоха тези сътресения, когато още в началото на август 2024 г. се сринаха, в отговор на повишаването на лихвените проценти в Япония и повишаването на безработицата в САЩ, което беше разтълкувано като предвестник на рецесия. Геополитическото напрежение и регионални конфликти е друг потенциален източник на макроикономически сътресения. На фона на повишеното напрежение между САЩ и Китай, продължава повишаването на геополитическите и геоикономическите рискове. Последният доклад за световните инвестиции поставя акцент върху нарастващото геополитическо напрежение, което е основна причина за отбелязания 10% спад в преките чуждестранни инвестиции. Съвсем наскоро, разходите за корабоплаване между Източна Азия и Северна Европа нараснаха повече от два пъти за периода  април – юли 2024 г. след засилване  на атаките по кораби в Червено море. </w:t>
            </w:r>
          </w:p>
          <w:p w14:paraId="4DCFA61D"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На фона на очакванията за растеж на азиатската икономика и САЩ, очакванията на водещи икономисти за европейската икономика не са оптимистични. Прогнозите са, европейската икономика да отбележи слаб растеж. Множество фактори допринасят за това, като политическата несигурност в много европейски държави, включително  в две от водещите европейски икономики – Франция и Германия. Само през второто тримесечие на 2024 г. германската икономика се е свила за четвърти път през последните две години с 0.1% на тримесечна база.</w:t>
            </w:r>
          </w:p>
          <w:p w14:paraId="32248339"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 xml:space="preserve"> </w:t>
            </w:r>
          </w:p>
          <w:p w14:paraId="3DCAEFA2"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Бушуващият конфликт в Близкия изток има потенциала да добави непредсказуем набор от негативни рискове към глобалната икономика, която вече се забавя. Конфликтът крие риск от по-високи цени на петрола и рискове за инфлацията, включително да повлияе на перспективите за растеж на световната икономика. Увеличенията на цените на петрола и газа, предизвикани от военните конфликти не само намаляват покупателната способност на населението и компаниите, но също така повишават разходите за производство на храни. Засилващият се международен натиск върху страните в конфликта все още не е довел до желаното прекратяване на боевете и начало на преговори за намиране на мирно решение на конфликта.</w:t>
            </w:r>
          </w:p>
          <w:p w14:paraId="2D57F018"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В допълнение на сериозните военни конфликти, нациите вече се борят с необичайно високи нива на дълг, слаби частни инвестиции и най-бавното възстановяване на търговията от пет десетилетия, което намалява възможностите за скорошно излизане от кризата. По-високите лихвени проценти са резултат от усилията на централната банка да укроти инфлацията, което направи по-трудно за правителствата и частните компании да получат достъп до кредити и да предотвратят неизпълнението на задълженията.</w:t>
            </w:r>
          </w:p>
          <w:p w14:paraId="21A2A52F"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Към икономически проблеми, които са подхранвани от задълбочаващите се геополитически конфликти, се добавя и напрежението между Съединените щати и Китай относно трансфера на технологии и сигурността, което усложнява усилията за съвместна работа по други проблеми като изменението на климата, облекчаване на дългове или предотвратяване на регионални конфликти.</w:t>
            </w:r>
          </w:p>
          <w:p w14:paraId="77A7B517"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 xml:space="preserve">Атаката на САЩ и Великобритания, предприети в началото на 2024 г. срещу цели на йеменските бунтовници – хути, рискува да разшири значително конфликта в Газа. Атаките бяха първият голям акт на отмъщение, откакто хутите започнаха да атакуват търговски кораби в Червено море – през което минава около 15% от световния морски трафик. Силите на САЩ и Великобритания атакуваха системи за противовъздушно наблюдение, радари и арсенали от дронове, крилати и балистични ракети в различни части на Йемен под контрола на бунтовниците хути. </w:t>
            </w:r>
          </w:p>
          <w:p w14:paraId="77DB3C52"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През септември 2024 г. хутите разшириха рисковете за нормализиране на обстановката в Близкия изток, като изстреляха хиперзвукова ракета по територията на Израел. От своя страна Израел отговори военно, както на това нападение, така и разшири конфликта в южен Ливан, като започна и ограничена сухопътна операция.</w:t>
            </w:r>
          </w:p>
          <w:p w14:paraId="30A6177E"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В същото време, производители на автомобили Tesla и Volvo вече обявиха временно спиране на част от производството си в Европа, поради недостиг на компоненти, произтичащ от промените в морския трафик през Червено море. Атаките, предприети от САЩ и Великобритания, не само увеличава обхвата на конфликта към други участници и географски пространства, но отваря пропастта между Съединените щати и почти целия арабски свят. Геополитическото напрежение, съчетано с избухването на активни военни действия в множество региони допринася за нестабилен глобален ред, характеризиращ се в подкопаване на доверието и несигурност. Последните събития, съчетано с продължаващото и задълбочаващото се въздействие на екстремни метереологични условия увеличават натиска върху разходите за живот и засилват икономическата несигурност в голяма част от света. Към тези рискове следва да се добавят и рисковете, свързани с дезинформация на обществата, които се проявяват все по-отчетливо в общества, които са политически и икономически отслабени през последните години. Тези рискове ще станат все по-трудни за преодоляване, тъй като глобалното сътрудничество ерозира. Същевременно последиците от един все по-фрагментиран свят влияят на способността за управление на настъпващите глобални рискове именно поради липса на консенсус и сътрудничество.</w:t>
            </w:r>
          </w:p>
          <w:bookmarkEnd w:id="8"/>
          <w:p w14:paraId="6EE0006E"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tc>
      </w:tr>
      <w:tr w:rsidR="002F7DCF" w:rsidRPr="002F7DCF" w14:paraId="66624150" w14:textId="77777777" w:rsidTr="00420430">
        <w:trPr>
          <w:jc w:val="center"/>
        </w:trPr>
        <w:tc>
          <w:tcPr>
            <w:tcW w:w="1770" w:type="dxa"/>
            <w:shd w:val="clear" w:color="auto" w:fill="auto"/>
          </w:tcPr>
          <w:p w14:paraId="4330C7A8"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bookmarkStart w:id="9" w:name="_Hlk156384308"/>
            <w:r w:rsidRPr="002F7DCF">
              <w:rPr>
                <w:rFonts w:ascii="Times New Roman" w:eastAsia="Times New Roman" w:hAnsi="Times New Roman" w:cs="Times New Roman"/>
                <w:sz w:val="18"/>
                <w:szCs w:val="20"/>
                <w:lang w:eastAsia="bg-BG"/>
              </w:rPr>
              <w:t>РИСК ОТ ПОКАЧВАНЕ НА ЦЕНИТЕ НА ЕЛЕКТРОЕНЕРГИ</w:t>
            </w:r>
            <w:r w:rsidRPr="002F7DCF">
              <w:rPr>
                <w:rFonts w:ascii="Times New Roman" w:eastAsia="Times New Roman" w:hAnsi="Times New Roman" w:cs="Times New Roman"/>
                <w:sz w:val="18"/>
                <w:szCs w:val="20"/>
                <w:lang w:val="ru-RU" w:eastAsia="bg-BG"/>
              </w:rPr>
              <w:t>-</w:t>
            </w:r>
            <w:r w:rsidRPr="002F7DCF">
              <w:rPr>
                <w:rFonts w:ascii="Times New Roman" w:eastAsia="Times New Roman" w:hAnsi="Times New Roman" w:cs="Times New Roman"/>
                <w:sz w:val="18"/>
                <w:szCs w:val="20"/>
                <w:lang w:eastAsia="bg-BG"/>
              </w:rPr>
              <w:t>ЯТА</w:t>
            </w:r>
          </w:p>
          <w:bookmarkEnd w:id="9"/>
          <w:p w14:paraId="41685864" w14:textId="77777777" w:rsidR="002F7DCF" w:rsidRPr="002F7DCF" w:rsidRDefault="002F7DCF" w:rsidP="002F7DCF">
            <w:pPr>
              <w:spacing w:after="0" w:line="240" w:lineRule="auto"/>
              <w:rPr>
                <w:rFonts w:ascii="Times New Roman" w:eastAsia="Times New Roman" w:hAnsi="Times New Roman" w:cs="Times New Roman"/>
                <w:sz w:val="18"/>
                <w:szCs w:val="20"/>
                <w:lang w:eastAsia="bg-BG"/>
              </w:rPr>
            </w:pPr>
          </w:p>
        </w:tc>
        <w:tc>
          <w:tcPr>
            <w:tcW w:w="8468" w:type="dxa"/>
            <w:shd w:val="clear" w:color="auto" w:fill="auto"/>
          </w:tcPr>
          <w:p w14:paraId="5B13BE6E" w14:textId="77777777" w:rsidR="002F7DCF" w:rsidRPr="002F7DCF" w:rsidRDefault="002F7DCF" w:rsidP="002F7DCF">
            <w:pPr>
              <w:spacing w:after="0" w:line="240" w:lineRule="auto"/>
              <w:jc w:val="both"/>
              <w:rPr>
                <w:rFonts w:ascii="Times New Roman" w:eastAsia="Times New Roman" w:hAnsi="Times New Roman" w:cs="Times New Roman"/>
                <w:strike/>
                <w:sz w:val="20"/>
                <w:szCs w:val="20"/>
                <w:lang w:eastAsia="bg-BG"/>
              </w:rPr>
            </w:pPr>
            <w:bookmarkStart w:id="10" w:name="_Hlk156384381"/>
            <w:r w:rsidRPr="002F7DCF">
              <w:rPr>
                <w:rFonts w:ascii="Times New Roman" w:eastAsia="Times New Roman" w:hAnsi="Times New Roman" w:cs="Times New Roman"/>
                <w:sz w:val="20"/>
                <w:szCs w:val="20"/>
                <w:lang w:eastAsia="bg-BG"/>
              </w:rPr>
              <w:t xml:space="preserve">Въглищните централи от комплекс „Марица изток и „Бобов дол“ произвеждат над 47 процента от електроенергията в България. От 01.07.2024 г. отпада ангажиментът на ТЕЦ „Марица изток 2“ към НЕК за производство на електроенергия, като предвид високата цена на емисиите и обстоятелството, че централата следва да излезе на свободния пазара изцяло, допринася за това тя да спре работа. Към датата на настоящия доклад липсва цялостен анализ по какъв начин това обстоятелство ще повлияе на цената на електроенергията за икономическите субекти, като са налице данни, че цената на битовите потребители е възможно да се повишат с около 20 на сто. Сътресенията на вътрешния пазар за производство на електрическа енергия предизвикани от възможното спиране на работа на въглищните централи се комбинират със сътресенията на международния пазар. Покачването на цените на тока и енергоносителите, което се засили особено отчетливо след инвазията на Русия в Украйна, оказаха натиск върху европейските потребители. През 2024 г. към общата нестабилност в световен мащаб се добавя особено отчетливо и въоръжения конфликт в Газа с което се застрашиха доставките на енергоносители. Разрастването на войната в Газа и включването в нея на хутите от Йемен и последвалите бомбардировки от САЩ и Великобритания, доведе до сериозни рискове за корабоплаването в Червено море, а оттам и за избягване на този маршрут от доставчиците на петрол. </w:t>
            </w:r>
          </w:p>
          <w:p w14:paraId="1F7D7474"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 xml:space="preserve">Посочените военни конфликти водят до сериозна несигурност при доставките на нефт и газ, а оттам се отразяват на тяхната цена, съответно на цената на електрическата енергия. </w:t>
            </w:r>
          </w:p>
          <w:p w14:paraId="2AE94E99"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r w:rsidRPr="002F7DCF">
              <w:rPr>
                <w:rFonts w:ascii="Times New Roman" w:eastAsia="Times New Roman" w:hAnsi="Times New Roman" w:cs="Times New Roman"/>
                <w:sz w:val="20"/>
                <w:szCs w:val="20"/>
                <w:lang w:eastAsia="bg-BG"/>
              </w:rPr>
              <w:t>В случай че Червено море бъде затворено за корабоплаване, дори и за непродължителен период от време, то това ще предизвика нов скок на цените на енергоносителите.</w:t>
            </w:r>
            <w:bookmarkEnd w:id="10"/>
          </w:p>
          <w:p w14:paraId="53790FDC" w14:textId="77777777" w:rsidR="002F7DCF" w:rsidRPr="002F7DCF" w:rsidRDefault="002F7DCF" w:rsidP="002F7DCF">
            <w:pPr>
              <w:spacing w:after="0" w:line="240" w:lineRule="auto"/>
              <w:jc w:val="both"/>
              <w:rPr>
                <w:rFonts w:ascii="Times New Roman" w:eastAsia="Times New Roman" w:hAnsi="Times New Roman" w:cs="Times New Roman"/>
                <w:sz w:val="20"/>
                <w:szCs w:val="20"/>
                <w:lang w:eastAsia="bg-BG"/>
              </w:rPr>
            </w:pPr>
          </w:p>
        </w:tc>
      </w:tr>
      <w:bookmarkEnd w:id="1"/>
    </w:tbl>
    <w:p w14:paraId="12D5BD83" w14:textId="77777777" w:rsidR="0018511C" w:rsidRDefault="0018511C" w:rsidP="0018511C">
      <w:pPr>
        <w:pStyle w:val="a5"/>
        <w:tabs>
          <w:tab w:val="left" w:pos="360"/>
        </w:tabs>
        <w:spacing w:after="0" w:line="240" w:lineRule="auto"/>
        <w:ind w:left="0"/>
        <w:jc w:val="both"/>
        <w:rPr>
          <w:rFonts w:ascii="Times New Roman" w:eastAsia="Arial Unicode MS" w:hAnsi="Times New Roman"/>
        </w:rPr>
      </w:pPr>
    </w:p>
    <w:p w14:paraId="6E82DF07" w14:textId="77777777" w:rsidR="00F84A95" w:rsidRPr="0018511C" w:rsidRDefault="00F84A95" w:rsidP="0018511C">
      <w:pPr>
        <w:pStyle w:val="a5"/>
        <w:tabs>
          <w:tab w:val="left" w:pos="360"/>
        </w:tabs>
        <w:spacing w:after="0" w:line="240" w:lineRule="auto"/>
        <w:ind w:left="0"/>
        <w:jc w:val="both"/>
        <w:rPr>
          <w:rFonts w:ascii="Times New Roman" w:eastAsia="Arial Unicode MS" w:hAnsi="Times New Roman"/>
        </w:rPr>
      </w:pPr>
    </w:p>
    <w:p w14:paraId="4E1E41F3" w14:textId="06461A26" w:rsidR="00D83F75" w:rsidRPr="000837AE"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 xml:space="preserve">НЕСИСТЕМАТИЧНИ  РИСКОВЕ </w:t>
      </w:r>
    </w:p>
    <w:p w14:paraId="1D840D32" w14:textId="77777777" w:rsidR="00BD335A" w:rsidRPr="000837AE" w:rsidRDefault="00BD335A" w:rsidP="00181947">
      <w:pPr>
        <w:keepNext/>
        <w:spacing w:after="0" w:line="240" w:lineRule="auto"/>
        <w:jc w:val="both"/>
        <w:outlineLvl w:val="0"/>
        <w:rPr>
          <w:rFonts w:ascii="Times New Roman" w:eastAsia="Times New Roman" w:hAnsi="Times New Roman" w:cs="Times New Roman"/>
          <w:b/>
          <w:bCs/>
          <w:sz w:val="24"/>
          <w:szCs w:val="24"/>
        </w:rPr>
      </w:pPr>
    </w:p>
    <w:p w14:paraId="79D4DF04" w14:textId="77777777" w:rsidR="00D83F75" w:rsidRPr="000837AE" w:rsidRDefault="00D83F75" w:rsidP="00D83F75">
      <w:pPr>
        <w:ind w:right="-11" w:firstLine="360"/>
        <w:jc w:val="both"/>
        <w:rPr>
          <w:rFonts w:ascii="Times New Roman" w:eastAsia="MS Mincho" w:hAnsi="Times New Roman" w:cs="Times New Roman"/>
          <w:b/>
          <w:spacing w:val="-3"/>
          <w:sz w:val="24"/>
          <w:szCs w:val="24"/>
          <w:u w:val="single"/>
          <w:lang w:eastAsia="ja-JP"/>
        </w:rPr>
      </w:pPr>
      <w:r w:rsidRPr="000837AE">
        <w:rPr>
          <w:rFonts w:ascii="Times New Roman" w:eastAsia="MS Mincho" w:hAnsi="Times New Roman" w:cs="Times New Roman"/>
          <w:b/>
          <w:spacing w:val="-3"/>
          <w:sz w:val="24"/>
          <w:szCs w:val="24"/>
          <w:u w:val="single"/>
          <w:lang w:eastAsia="ja-JP"/>
        </w:rPr>
        <w:t xml:space="preserve">ЗАВИСИМОСТ ОТ КЛЮЧОВ ПЕРСОНАЛ </w:t>
      </w:r>
    </w:p>
    <w:p w14:paraId="767C9130" w14:textId="7517DD64"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Кадровата устойчивост е основен приоритет на ръководството на СБР “</w:t>
      </w:r>
      <w:r w:rsidR="00EA2051" w:rsidRPr="000837AE">
        <w:rPr>
          <w:rFonts w:ascii="Times New Roman" w:eastAsia="Times New Roman" w:hAnsi="Times New Roman" w:cs="Times New Roman"/>
          <w:bCs/>
          <w:sz w:val="24"/>
          <w:szCs w:val="24"/>
        </w:rPr>
        <w:t>Света Богородица</w:t>
      </w:r>
      <w:r w:rsidRPr="000837AE">
        <w:rPr>
          <w:rFonts w:ascii="Times New Roman" w:eastAsia="Times New Roman" w:hAnsi="Times New Roman" w:cs="Times New Roman"/>
          <w:bCs/>
          <w:sz w:val="24"/>
          <w:szCs w:val="24"/>
        </w:rPr>
        <w:t>” ЕООД.</w:t>
      </w:r>
    </w:p>
    <w:p w14:paraId="23DADEA4" w14:textId="77777777"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Ниските нива на заплащане в сектор „Здравеопазване“ водят до отлив на квалифицирани медицински кадри и насочване на същите към други страни членки на Европейския съюз. </w:t>
      </w:r>
    </w:p>
    <w:p w14:paraId="1E9C0B54" w14:textId="7385C293"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Временната или продължителна липса на ключов медицински персонал би довела до сериозни затруднения в дейността на 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w:t>
      </w:r>
    </w:p>
    <w:p w14:paraId="636B4F82" w14:textId="77777777" w:rsidR="00D83F75" w:rsidRPr="000837AE" w:rsidRDefault="00D83F75" w:rsidP="00D83F75">
      <w:pPr>
        <w:ind w:right="-11" w:firstLine="851"/>
        <w:jc w:val="both"/>
        <w:rPr>
          <w:rFonts w:ascii="Times New Roman" w:eastAsia="MS Mincho" w:hAnsi="Times New Roman" w:cs="Times New Roman"/>
          <w:spacing w:val="-3"/>
          <w:sz w:val="24"/>
          <w:szCs w:val="24"/>
          <w:lang w:eastAsia="ja-JP"/>
        </w:rPr>
      </w:pPr>
    </w:p>
    <w:p w14:paraId="26D61EB2" w14:textId="77777777" w:rsidR="00D83F75" w:rsidRPr="000837AE" w:rsidRDefault="00D83F75" w:rsidP="001E4950">
      <w:pPr>
        <w:keepNext/>
        <w:ind w:right="-11" w:firstLine="357"/>
        <w:jc w:val="both"/>
        <w:rPr>
          <w:rFonts w:ascii="Times New Roman" w:eastAsia="MS Mincho" w:hAnsi="Times New Roman" w:cs="Times New Roman"/>
          <w:b/>
          <w:spacing w:val="-3"/>
          <w:sz w:val="24"/>
          <w:szCs w:val="24"/>
          <w:u w:val="single"/>
          <w:lang w:eastAsia="ja-JP"/>
        </w:rPr>
      </w:pPr>
      <w:r w:rsidRPr="000837AE">
        <w:rPr>
          <w:rFonts w:ascii="Times New Roman" w:eastAsia="MS Mincho" w:hAnsi="Times New Roman" w:cs="Times New Roman"/>
          <w:b/>
          <w:spacing w:val="-3"/>
          <w:sz w:val="24"/>
          <w:szCs w:val="24"/>
          <w:u w:val="single"/>
          <w:lang w:eastAsia="ja-JP"/>
        </w:rPr>
        <w:t xml:space="preserve">ПРОМЯНА В НОРМАТИВНАТА УРЕДБА </w:t>
      </w:r>
    </w:p>
    <w:p w14:paraId="7F645ECA" w14:textId="1A6BB91C"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е субект на редица специални разпоредби и изисквания на Закона за лечебните заведения и съответните подзаконови нормативни актове, Националния рамков договор, Националната здравноосигурителна каса. </w:t>
      </w:r>
    </w:p>
    <w:p w14:paraId="48955A34" w14:textId="40C354B7" w:rsidR="00D83F75"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При съвременните условия на пазарна икономика дружеството се намира под въздействието на различни фактори. Това налага разполагането със солидна финансова база, която да позволява неутрализирането на отрицателното влияние на тези фактори, без това да влияе на нормалното функциониране на дружеството, то да бъде финансово независимо и финансово стабилно. Това състояние се измерва с помощта на редица показатели и коефициенти, най-важните от които са: коефициент на финансова независимост, финансова задлъжнялост, рентабилност, ефективност, ликвидност и др., информация за които е предоставена в т.</w:t>
      </w:r>
      <w:r w:rsidR="001E4950" w:rsidRPr="000837AE">
        <w:rPr>
          <w:rFonts w:ascii="Times New Roman" w:eastAsia="Times New Roman" w:hAnsi="Times New Roman" w:cs="Times New Roman"/>
          <w:bCs/>
          <w:sz w:val="24"/>
          <w:szCs w:val="24"/>
        </w:rPr>
        <w:t> </w:t>
      </w:r>
      <w:r w:rsidRPr="000837AE">
        <w:rPr>
          <w:rFonts w:ascii="Times New Roman" w:eastAsia="Times New Roman" w:hAnsi="Times New Roman" w:cs="Times New Roman"/>
          <w:bCs/>
          <w:sz w:val="24"/>
          <w:szCs w:val="24"/>
        </w:rPr>
        <w:t>II.</w:t>
      </w:r>
      <w:r w:rsidR="00EA2051">
        <w:rPr>
          <w:rFonts w:ascii="Times New Roman" w:eastAsia="Times New Roman" w:hAnsi="Times New Roman" w:cs="Times New Roman"/>
          <w:bCs/>
          <w:sz w:val="24"/>
          <w:szCs w:val="24"/>
          <w:lang w:val="en-US"/>
        </w:rPr>
        <w:t> </w:t>
      </w:r>
      <w:r w:rsidRPr="000837AE">
        <w:rPr>
          <w:rFonts w:ascii="Times New Roman" w:eastAsia="Times New Roman" w:hAnsi="Times New Roman" w:cs="Times New Roman"/>
          <w:bCs/>
          <w:sz w:val="24"/>
          <w:szCs w:val="24"/>
        </w:rPr>
        <w:t>ПРЕГЛЕД НА ДЕЙНОСТТА И НА СЪСТОЯНИЕТО НА ПРЕДПРИЯТИЕТО.</w:t>
      </w:r>
    </w:p>
    <w:p w14:paraId="0BC12202"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Устоите на здравната реформа се явяват в изграждането на здравноосигурителната система с приемането на ЗЗО, ЗЛЗ, ЗСОЛС и ЗЗ, с което се въведе договорното начало при предоставяне и заплащане на медицински услуги и се дефинират правата и задълженията на всички участници в здравеопазването. Министерство на здравеопазването динамично променя Правилниците и Наредбите, а също така, съвместно със съсловните организации, насочва провеждането на реформата чрез осъществяването на акредитацията на лечебните заведения, въвеждането на медицинските стандарти, подготовката на правилата за добра медицинска практика. По-късно с промените в модела на финансиране на лечебните заведения и формирането на работната заплата се направиха още по-категорични стъпки в тази насока. Не на последно място голяма роля играеха договорните отношения между лекарския съюз и съсловните организации от една страна и НЗОК от друга.</w:t>
      </w:r>
    </w:p>
    <w:p w14:paraId="0B426D76"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Елементите на здравната реформа са насочени към осигуряване съпоставимост и съвместимост на здравната ни система със Световните и Европейски практики в тази област, осигуряващи принципи като: социална ориентираност на здравните услуги; гарантиране на населението на равен достъп, сигурност и качество при ползване на медицинските услуги; прилагане на пазарни механизми при разпределяне на ресурсите в и извън системата на задължителното здравно осигуряване, чрез които да се създаде благоприятна конкурентна среда, водеща до повишаване на качеството на предлаганите услуги; адекватно преструктуриране на лечебните заведения в новото им качество на самостоятелни юридически субекти, с възможности за икономическа независимост, предполагаща рационално използване на собствен ресурс.</w:t>
      </w:r>
    </w:p>
    <w:p w14:paraId="0E6E0D54"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Здравната реформа е един непрекъснат динамичен процес, основаващ се на нормативна база, чието непоследователно приемане и адаптиране на дейността към нея оставя лечебните заведения в критична ситуация при изпълнение на мисията им.</w:t>
      </w:r>
    </w:p>
    <w:p w14:paraId="2F02119B"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На практика към днешна дата структурните и организационни модели, универсално приложими само преди няколко години са в състояние на много кратък срок да доведат едно лечебно заведение до невъзможност да осигури адекватен финансов, материален и човешки ресурс за осъществяване на дейността си. Нещо повече, за да избегнат този риск и да обезпечат стабилното си развитие, управителите на лечебните заведения за болнична помощ трябва да умеят изпреварващо да генерират готовност, да приемат предизвикателствата като ясно очертани тенденции.</w:t>
      </w:r>
    </w:p>
    <w:p w14:paraId="7D6A22B9" w14:textId="77777777" w:rsidR="00D92553" w:rsidRPr="00D92553" w:rsidRDefault="00D92553" w:rsidP="00D92553">
      <w:pPr>
        <w:spacing w:after="0" w:line="240" w:lineRule="auto"/>
        <w:ind w:firstLine="708"/>
        <w:jc w:val="both"/>
        <w:outlineLvl w:val="0"/>
        <w:rPr>
          <w:rFonts w:ascii="Times New Roman" w:eastAsia="Times New Roman" w:hAnsi="Times New Roman" w:cs="Times New Roman"/>
          <w:bCs/>
          <w:sz w:val="24"/>
          <w:szCs w:val="24"/>
        </w:rPr>
      </w:pPr>
      <w:r w:rsidRPr="00D92553">
        <w:rPr>
          <w:rFonts w:ascii="Times New Roman" w:eastAsia="Times New Roman" w:hAnsi="Times New Roman" w:cs="Times New Roman"/>
          <w:bCs/>
          <w:sz w:val="24"/>
          <w:szCs w:val="24"/>
        </w:rPr>
        <w:t>Неосъзнаването и нереализирането на тези императивни необходимости, преди всичко от страна на ръководителите на лечебните заведения за болнична помощ, рефлектират в натрупващи се проблеми за собствениците им, изпитание на персонала и от там неудовлетвореност и демотивация, а в крайна сметка неизбежно се появява и най-негативния резултат – компрометира се качеството на цялостната дейност на лечебното заведение. В светлината на казаното, от управителя на болницата се очаква да притежава ясна визия, да е способен на бързи компетентни и отговорни решения, за изпълнението на които да умее да приобщи всички  нива в структурата на болницата.</w:t>
      </w:r>
    </w:p>
    <w:p w14:paraId="24B2493F" w14:textId="1E424BF4" w:rsidR="00D83F75" w:rsidRPr="000837AE"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Възможна промяна в законодателството, регулиращо дейността на 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може да доведе до евентуално увеличение на разходите за спазване на изискванията или да окаже друг ефект върху нейните дейности. </w:t>
      </w:r>
    </w:p>
    <w:p w14:paraId="22E54061" w14:textId="484543DB" w:rsidR="00D83F75"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Ръководството на СБР “</w:t>
      </w:r>
      <w:r w:rsidR="00EA2051" w:rsidRPr="000837AE">
        <w:rPr>
          <w:rFonts w:ascii="Times New Roman" w:eastAsia="Times New Roman" w:hAnsi="Times New Roman" w:cs="Times New Roman"/>
          <w:bCs/>
          <w:sz w:val="24"/>
          <w:szCs w:val="24"/>
        </w:rPr>
        <w:t>Св. Богородица</w:t>
      </w:r>
      <w:r w:rsidRPr="000837AE">
        <w:rPr>
          <w:rFonts w:ascii="Times New Roman" w:eastAsia="Times New Roman" w:hAnsi="Times New Roman" w:cs="Times New Roman"/>
          <w:bCs/>
          <w:sz w:val="24"/>
          <w:szCs w:val="24"/>
        </w:rPr>
        <w:t xml:space="preserve">” ЕООД се стреми да минимизира този риск, като осъществява дейността си в съответствие с утвърдените медицински стандарти, включително като се стреми да задържи ключовите медицински кадри дългосрочно. </w:t>
      </w:r>
    </w:p>
    <w:p w14:paraId="03F40643" w14:textId="77777777" w:rsidR="003832D0" w:rsidRDefault="003832D0" w:rsidP="008E4056">
      <w:pPr>
        <w:spacing w:after="0" w:line="240" w:lineRule="auto"/>
        <w:ind w:firstLine="708"/>
        <w:jc w:val="both"/>
        <w:outlineLvl w:val="0"/>
        <w:rPr>
          <w:rFonts w:ascii="Times New Roman" w:eastAsia="Times New Roman" w:hAnsi="Times New Roman" w:cs="Times New Roman"/>
          <w:bCs/>
          <w:sz w:val="24"/>
          <w:szCs w:val="24"/>
        </w:rPr>
      </w:pPr>
    </w:p>
    <w:p w14:paraId="7419758B" w14:textId="7778B326" w:rsidR="00D83F75" w:rsidRPr="000837AE" w:rsidRDefault="00D83F75" w:rsidP="003832D0">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837AE">
        <w:rPr>
          <w:rFonts w:ascii="Times New Roman" w:eastAsia="Times New Roman" w:hAnsi="Times New Roman" w:cs="Times New Roman"/>
          <w:b/>
          <w:bCs/>
          <w:sz w:val="24"/>
          <w:szCs w:val="24"/>
        </w:rPr>
        <w:t>АНАЛИЗ НА ИЗПЪЛНЕНИЕТО НА ФИНАНСОВИТЕ И НЕФИНАНСОВИТЕ ЦЕЛИ</w:t>
      </w:r>
    </w:p>
    <w:p w14:paraId="4CBFC3E6" w14:textId="79275186" w:rsidR="00281443" w:rsidRPr="000837AE" w:rsidRDefault="00281443" w:rsidP="00281443">
      <w:pPr>
        <w:spacing w:after="0" w:line="240" w:lineRule="auto"/>
        <w:ind w:firstLine="708"/>
        <w:jc w:val="both"/>
        <w:outlineLvl w:val="0"/>
        <w:rPr>
          <w:rFonts w:ascii="Times New Roman" w:eastAsia="Times New Roman" w:hAnsi="Times New Roman" w:cs="Times New Roman"/>
          <w:bCs/>
          <w:sz w:val="24"/>
          <w:szCs w:val="24"/>
        </w:rPr>
      </w:pPr>
      <w:bookmarkStart w:id="11" w:name="_Hlk69736911"/>
      <w:r w:rsidRPr="000837AE">
        <w:rPr>
          <w:rFonts w:ascii="Times New Roman" w:eastAsia="Times New Roman" w:hAnsi="Times New Roman" w:cs="Times New Roman"/>
          <w:bCs/>
          <w:sz w:val="24"/>
          <w:szCs w:val="24"/>
        </w:rPr>
        <w:t xml:space="preserve">В съответствие с утвърдената от Министъра на отбраната Програма за развитието и дейността на СБР ”Света Богородица” ЕООД, с. Нареченски бани, усилията на колектива на Болницата през </w:t>
      </w:r>
      <w:r w:rsidR="006E7585" w:rsidRPr="000837AE">
        <w:rPr>
          <w:rFonts w:ascii="Times New Roman" w:eastAsia="Times New Roman" w:hAnsi="Times New Roman" w:cs="Times New Roman"/>
          <w:bCs/>
          <w:sz w:val="24"/>
          <w:szCs w:val="24"/>
        </w:rPr>
        <w:t>отчетния период</w:t>
      </w:r>
      <w:r w:rsidRPr="000837AE">
        <w:rPr>
          <w:rFonts w:ascii="Times New Roman" w:eastAsia="Times New Roman" w:hAnsi="Times New Roman" w:cs="Times New Roman"/>
          <w:bCs/>
          <w:sz w:val="24"/>
          <w:szCs w:val="24"/>
        </w:rPr>
        <w:t xml:space="preserve"> на 202</w:t>
      </w:r>
      <w:r w:rsidR="00EA2051">
        <w:rPr>
          <w:rFonts w:ascii="Times New Roman" w:eastAsia="Times New Roman" w:hAnsi="Times New Roman" w:cs="Times New Roman"/>
          <w:bCs/>
          <w:sz w:val="24"/>
          <w:szCs w:val="24"/>
          <w:lang w:val="en-US"/>
        </w:rPr>
        <w:t>4</w:t>
      </w:r>
      <w:r w:rsidRPr="000837AE">
        <w:rPr>
          <w:rFonts w:ascii="Times New Roman" w:eastAsia="Times New Roman" w:hAnsi="Times New Roman" w:cs="Times New Roman"/>
          <w:bCs/>
          <w:sz w:val="24"/>
          <w:szCs w:val="24"/>
        </w:rPr>
        <w:t xml:space="preserve"> г. бяха съсредоточени в следните основни направления:</w:t>
      </w:r>
    </w:p>
    <w:p w14:paraId="5FB8F6EC" w14:textId="77777777" w:rsidR="0086670E" w:rsidRPr="005A4CD7"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1. Утвърждаване на пазарни механизми за управление и разпределение на материалните, финансовите и човешките ресурси.</w:t>
      </w:r>
    </w:p>
    <w:p w14:paraId="55E5B56B" w14:textId="4A1CBF14" w:rsidR="0086670E" w:rsidRPr="005A4CD7"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2. Изпълнение в пълен обем и с най-високо качество на дейност</w:t>
      </w:r>
      <w:r w:rsidR="005A4CD7" w:rsidRPr="005A4CD7">
        <w:rPr>
          <w:rFonts w:ascii="Times New Roman" w:eastAsia="Times New Roman" w:hAnsi="Times New Roman" w:cs="Times New Roman"/>
          <w:bCs/>
          <w:sz w:val="24"/>
          <w:szCs w:val="24"/>
        </w:rPr>
        <w:t>ите</w:t>
      </w:r>
      <w:r w:rsidRPr="005A4CD7">
        <w:rPr>
          <w:rFonts w:ascii="Times New Roman" w:eastAsia="Times New Roman" w:hAnsi="Times New Roman" w:cs="Times New Roman"/>
          <w:bCs/>
          <w:sz w:val="24"/>
          <w:szCs w:val="24"/>
        </w:rPr>
        <w:t xml:space="preserve"> на Болница “Света Богородица” ЕООД – продължително лечение, рехабилитация и профилактика на стрес, дистрес, тревожни, депресивни, конверзионни и панически разстройства; захарен диабет и усложненията му; всички форми на хипертония, и исхемична болест на сърцето; съдови заболявания и заболявания с обменни и метаболитни нарушения.</w:t>
      </w:r>
    </w:p>
    <w:p w14:paraId="686DA31C" w14:textId="77777777" w:rsidR="0086670E" w:rsidRPr="00EB1422"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Подобряване качеството на хоспитализацията, предлаганите медицински услуги, обгрижването на пациентите, храненето за постигане на максимален психичен и здравословен комфорт.</w:t>
      </w:r>
    </w:p>
    <w:p w14:paraId="51174FD3" w14:textId="77777777" w:rsidR="0086670E" w:rsidRPr="005A4CD7"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3. Подготовка на лечебна и профилактична програма за лечение на военнослужещите на Република България, участващи в мисии зад граница.</w:t>
      </w:r>
    </w:p>
    <w:p w14:paraId="065E25A7" w14:textId="77777777" w:rsidR="0086670E" w:rsidRPr="005A4CD7" w:rsidRDefault="0086670E" w:rsidP="0086670E">
      <w:pPr>
        <w:spacing w:after="0" w:line="240" w:lineRule="auto"/>
        <w:ind w:firstLine="708"/>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През изтеклия отчетен 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значимите заболявания, подобряване условията и бита на пациентите, както и облекчаване на основните и свързани с тях заболявания.</w:t>
      </w:r>
    </w:p>
    <w:p w14:paraId="3EB3D52D" w14:textId="77777777" w:rsidR="00281443" w:rsidRPr="00034634" w:rsidRDefault="00281443" w:rsidP="001810BF">
      <w:pPr>
        <w:spacing w:after="0" w:line="240" w:lineRule="auto"/>
        <w:ind w:firstLine="708"/>
        <w:jc w:val="both"/>
        <w:outlineLvl w:val="0"/>
        <w:rPr>
          <w:rFonts w:ascii="Times New Roman" w:eastAsia="Times New Roman" w:hAnsi="Times New Roman" w:cs="Times New Roman"/>
          <w:bCs/>
          <w:sz w:val="24"/>
          <w:szCs w:val="24"/>
          <w:highlight w:val="yellow"/>
        </w:rPr>
      </w:pPr>
    </w:p>
    <w:p w14:paraId="71724120" w14:textId="5A88D5C3" w:rsidR="00D83F75" w:rsidRPr="005A4CD7" w:rsidRDefault="00D83F75" w:rsidP="001810BF">
      <w:pPr>
        <w:spacing w:after="0" w:line="240" w:lineRule="auto"/>
        <w:ind w:firstLine="708"/>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 xml:space="preserve">През </w:t>
      </w:r>
      <w:r w:rsidR="007E0168" w:rsidRPr="005A4CD7">
        <w:rPr>
          <w:rFonts w:ascii="Times New Roman" w:eastAsia="Times New Roman" w:hAnsi="Times New Roman" w:cs="Times New Roman"/>
          <w:bCs/>
          <w:sz w:val="24"/>
          <w:szCs w:val="24"/>
        </w:rPr>
        <w:t>отчетния период на</w:t>
      </w:r>
      <w:r w:rsidRPr="005A4CD7">
        <w:rPr>
          <w:rFonts w:ascii="Times New Roman" w:eastAsia="Times New Roman" w:hAnsi="Times New Roman" w:cs="Times New Roman"/>
          <w:bCs/>
          <w:sz w:val="24"/>
          <w:szCs w:val="24"/>
        </w:rPr>
        <w:t xml:space="preserve"> 202</w:t>
      </w:r>
      <w:r w:rsidR="00EA2051" w:rsidRPr="005A4CD7">
        <w:rPr>
          <w:rFonts w:ascii="Times New Roman" w:eastAsia="Times New Roman" w:hAnsi="Times New Roman" w:cs="Times New Roman"/>
          <w:bCs/>
          <w:sz w:val="24"/>
          <w:szCs w:val="24"/>
          <w:lang w:val="en-US"/>
        </w:rPr>
        <w:t>4</w:t>
      </w:r>
      <w:r w:rsidR="000B42FF" w:rsidRPr="005A4CD7">
        <w:rPr>
          <w:rFonts w:ascii="Times New Roman" w:eastAsia="Times New Roman" w:hAnsi="Times New Roman" w:cs="Times New Roman"/>
          <w:bCs/>
          <w:sz w:val="24"/>
          <w:szCs w:val="24"/>
        </w:rPr>
        <w:t> </w:t>
      </w:r>
      <w:r w:rsidRPr="005A4CD7">
        <w:rPr>
          <w:rFonts w:ascii="Times New Roman" w:eastAsia="Times New Roman" w:hAnsi="Times New Roman" w:cs="Times New Roman"/>
          <w:bCs/>
          <w:sz w:val="24"/>
          <w:szCs w:val="24"/>
        </w:rPr>
        <w:t xml:space="preserve">г. </w:t>
      </w:r>
      <w:r w:rsidR="00E80B40">
        <w:rPr>
          <w:rFonts w:ascii="Times New Roman" w:eastAsia="Times New Roman" w:hAnsi="Times New Roman" w:cs="Times New Roman"/>
          <w:bCs/>
          <w:sz w:val="24"/>
          <w:szCs w:val="24"/>
        </w:rPr>
        <w:t xml:space="preserve">бяха </w:t>
      </w:r>
      <w:r w:rsidRPr="005A4CD7">
        <w:rPr>
          <w:rFonts w:ascii="Times New Roman" w:eastAsia="Times New Roman" w:hAnsi="Times New Roman" w:cs="Times New Roman"/>
          <w:bCs/>
          <w:sz w:val="24"/>
          <w:szCs w:val="24"/>
        </w:rPr>
        <w:t>реализира</w:t>
      </w:r>
      <w:r w:rsidR="00E80B40">
        <w:rPr>
          <w:rFonts w:ascii="Times New Roman" w:eastAsia="Times New Roman" w:hAnsi="Times New Roman" w:cs="Times New Roman"/>
          <w:bCs/>
          <w:sz w:val="24"/>
          <w:szCs w:val="24"/>
        </w:rPr>
        <w:t>ни</w:t>
      </w:r>
      <w:r w:rsidRPr="005A4CD7">
        <w:rPr>
          <w:rFonts w:ascii="Times New Roman" w:eastAsia="Times New Roman" w:hAnsi="Times New Roman" w:cs="Times New Roman"/>
          <w:bCs/>
          <w:sz w:val="24"/>
          <w:szCs w:val="24"/>
        </w:rPr>
        <w:t xml:space="preserve"> следните действия по изпълнение на поставените пред дружеството цели: </w:t>
      </w:r>
    </w:p>
    <w:p w14:paraId="4F0EAB4B" w14:textId="54D8CF28" w:rsidR="00D83F75" w:rsidRPr="005A4CD7"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По отношение на предоставяне на медицински услуги, задоволяващи здравните потребности, изисквания и очаквания на пациенти</w:t>
      </w:r>
      <w:r w:rsidR="001810BF" w:rsidRPr="005A4CD7">
        <w:rPr>
          <w:rFonts w:ascii="Times New Roman" w:eastAsia="Calibri" w:hAnsi="Times New Roman" w:cs="Times New Roman"/>
          <w:sz w:val="24"/>
          <w:szCs w:val="24"/>
        </w:rPr>
        <w:t>те:</w:t>
      </w:r>
    </w:p>
    <w:p w14:paraId="1C901ACF" w14:textId="636A01D9" w:rsidR="001810BF" w:rsidRPr="005A4CD7"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w:t>
      </w:r>
      <w:r w:rsidRPr="005A4CD7">
        <w:rPr>
          <w:rFonts w:ascii="Times New Roman" w:eastAsia="Calibri" w:hAnsi="Times New Roman" w:cs="Times New Roman"/>
          <w:sz w:val="24"/>
          <w:szCs w:val="24"/>
        </w:rPr>
        <w:tab/>
        <w:t>Предоставени са здравни услуги в областта на разрешената на болницата дейност по договор с МО, НЗОК</w:t>
      </w:r>
      <w:r w:rsidR="005A4CD7" w:rsidRPr="005A4CD7">
        <w:rPr>
          <w:rFonts w:ascii="Times New Roman" w:eastAsia="Calibri" w:hAnsi="Times New Roman" w:cs="Times New Roman"/>
          <w:sz w:val="24"/>
          <w:szCs w:val="24"/>
        </w:rPr>
        <w:t>, НОИ</w:t>
      </w:r>
      <w:r w:rsidRPr="005A4CD7">
        <w:rPr>
          <w:rFonts w:ascii="Times New Roman" w:eastAsia="Calibri" w:hAnsi="Times New Roman" w:cs="Times New Roman"/>
          <w:sz w:val="24"/>
          <w:szCs w:val="24"/>
        </w:rPr>
        <w:t xml:space="preserve"> и МЗ</w:t>
      </w:r>
      <w:r w:rsidR="005A4CD7" w:rsidRPr="005A4CD7">
        <w:rPr>
          <w:rFonts w:ascii="Times New Roman" w:eastAsia="Calibri" w:hAnsi="Times New Roman" w:cs="Times New Roman"/>
          <w:sz w:val="24"/>
          <w:szCs w:val="24"/>
        </w:rPr>
        <w:t xml:space="preserve"> на </w:t>
      </w:r>
      <w:r w:rsidRPr="005A4CD7">
        <w:rPr>
          <w:rFonts w:ascii="Times New Roman" w:eastAsia="Calibri" w:hAnsi="Times New Roman" w:cs="Times New Roman"/>
          <w:sz w:val="24"/>
          <w:szCs w:val="24"/>
        </w:rPr>
        <w:t>лица</w:t>
      </w:r>
      <w:r w:rsidR="0053048A" w:rsidRPr="005A4CD7">
        <w:rPr>
          <w:rFonts w:ascii="Times New Roman" w:eastAsia="Calibri" w:hAnsi="Times New Roman" w:cs="Times New Roman"/>
          <w:sz w:val="24"/>
          <w:szCs w:val="24"/>
        </w:rPr>
        <w:t xml:space="preserve"> потърсили</w:t>
      </w:r>
      <w:r w:rsidR="005A4CD7" w:rsidRPr="005A4CD7">
        <w:rPr>
          <w:rFonts w:ascii="Times New Roman" w:eastAsia="Calibri" w:hAnsi="Times New Roman" w:cs="Times New Roman"/>
          <w:sz w:val="24"/>
          <w:szCs w:val="24"/>
        </w:rPr>
        <w:t>те</w:t>
      </w:r>
      <w:r w:rsidRPr="005A4CD7">
        <w:rPr>
          <w:rFonts w:ascii="Times New Roman" w:eastAsia="Calibri" w:hAnsi="Times New Roman" w:cs="Times New Roman"/>
          <w:sz w:val="24"/>
          <w:szCs w:val="24"/>
        </w:rPr>
        <w:t xml:space="preserve"> </w:t>
      </w:r>
      <w:r w:rsidR="0053048A" w:rsidRPr="005A4CD7">
        <w:rPr>
          <w:rFonts w:ascii="Times New Roman" w:eastAsia="Calibri" w:hAnsi="Times New Roman" w:cs="Times New Roman"/>
          <w:sz w:val="24"/>
          <w:szCs w:val="24"/>
        </w:rPr>
        <w:t xml:space="preserve">здравните </w:t>
      </w:r>
      <w:r w:rsidRPr="005A4CD7">
        <w:rPr>
          <w:rFonts w:ascii="Times New Roman" w:eastAsia="Calibri" w:hAnsi="Times New Roman" w:cs="Times New Roman"/>
          <w:sz w:val="24"/>
          <w:szCs w:val="24"/>
        </w:rPr>
        <w:t>услуги</w:t>
      </w:r>
      <w:r w:rsidR="0053048A" w:rsidRPr="005A4CD7">
        <w:rPr>
          <w:rFonts w:ascii="Times New Roman" w:eastAsia="Calibri" w:hAnsi="Times New Roman" w:cs="Times New Roman"/>
          <w:sz w:val="24"/>
          <w:szCs w:val="24"/>
        </w:rPr>
        <w:t xml:space="preserve"> на лечебното заведение</w:t>
      </w:r>
      <w:r w:rsidRPr="005A4CD7">
        <w:rPr>
          <w:rFonts w:ascii="Times New Roman" w:eastAsia="Calibri" w:hAnsi="Times New Roman" w:cs="Times New Roman"/>
          <w:sz w:val="24"/>
          <w:szCs w:val="24"/>
        </w:rPr>
        <w:t>;</w:t>
      </w:r>
    </w:p>
    <w:p w14:paraId="77577982" w14:textId="16FEDB4D" w:rsidR="001810BF" w:rsidRPr="005A4CD7"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w:t>
      </w:r>
      <w:r w:rsidRPr="005A4CD7">
        <w:rPr>
          <w:rFonts w:ascii="Times New Roman" w:eastAsia="Calibri" w:hAnsi="Times New Roman" w:cs="Times New Roman"/>
          <w:sz w:val="24"/>
          <w:szCs w:val="24"/>
        </w:rPr>
        <w:tab/>
        <w:t>В процеса по предоставяне на здравни услуги основно внимание се отделя на следните елементи – достъпност, равнопоставеност, своевременност, социална възприемчивост, ефективност и ефикасност;</w:t>
      </w:r>
    </w:p>
    <w:p w14:paraId="7E054BDC" w14:textId="77FBE2AD" w:rsidR="001810BF" w:rsidRPr="005A4CD7"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w:t>
      </w:r>
      <w:r w:rsidRPr="005A4CD7">
        <w:rPr>
          <w:rFonts w:ascii="Times New Roman" w:eastAsia="Calibri" w:hAnsi="Times New Roman" w:cs="Times New Roman"/>
          <w:sz w:val="24"/>
          <w:szCs w:val="24"/>
        </w:rPr>
        <w:tab/>
        <w:t>Изпълняват се сключени договори за съвместна дейност с други лечебни заведения, с което се повишава качеството на предоставяните услуги;</w:t>
      </w:r>
    </w:p>
    <w:p w14:paraId="637EC2E4" w14:textId="74D5DF09" w:rsidR="001810BF" w:rsidRPr="005A4CD7"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w:t>
      </w:r>
      <w:r w:rsidRPr="005A4CD7">
        <w:rPr>
          <w:rFonts w:ascii="Times New Roman" w:eastAsia="Calibri" w:hAnsi="Times New Roman" w:cs="Times New Roman"/>
          <w:sz w:val="24"/>
          <w:szCs w:val="24"/>
        </w:rPr>
        <w:tab/>
        <w:t>Спазват се алгоритмите за терапевтично поведение, съобразени с медицинските стандарти и правила за добра медицинска практика</w:t>
      </w:r>
      <w:r w:rsidR="005A4CD7" w:rsidRPr="005A4CD7">
        <w:rPr>
          <w:rFonts w:ascii="Times New Roman" w:eastAsia="Calibri" w:hAnsi="Times New Roman" w:cs="Times New Roman"/>
          <w:sz w:val="24"/>
          <w:szCs w:val="24"/>
        </w:rPr>
        <w:t>,</w:t>
      </w:r>
      <w:r w:rsidRPr="005A4CD7">
        <w:rPr>
          <w:rFonts w:ascii="Times New Roman" w:eastAsia="Calibri" w:hAnsi="Times New Roman" w:cs="Times New Roman"/>
          <w:sz w:val="24"/>
          <w:szCs w:val="24"/>
        </w:rPr>
        <w:t xml:space="preserve"> обвързани с възможностите за финансиране.</w:t>
      </w:r>
    </w:p>
    <w:p w14:paraId="6DC47976" w14:textId="77777777" w:rsidR="0053048A" w:rsidRPr="005A4CD7" w:rsidRDefault="0053048A"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p>
    <w:p w14:paraId="6797025A" w14:textId="59CA40D5" w:rsidR="001A6081" w:rsidRPr="005A4CD7"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По отношение на създаване на оптимален баланс на материални, финансови и човешки ресурси, които осигуряват предоставянето на услуги, отговарящи на изискванията за качество</w:t>
      </w:r>
      <w:r w:rsidR="001810BF" w:rsidRPr="005A4CD7">
        <w:rPr>
          <w:rFonts w:ascii="Times New Roman" w:eastAsia="Calibri" w:hAnsi="Times New Roman" w:cs="Times New Roman"/>
          <w:sz w:val="24"/>
          <w:szCs w:val="24"/>
        </w:rPr>
        <w:t>:</w:t>
      </w:r>
    </w:p>
    <w:p w14:paraId="64FF48E8" w14:textId="623244A6" w:rsidR="001810BF" w:rsidRPr="005A4CD7"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w:t>
      </w:r>
      <w:r w:rsidRPr="005A4CD7">
        <w:rPr>
          <w:rFonts w:ascii="Times New Roman" w:eastAsia="Calibri" w:hAnsi="Times New Roman" w:cs="Times New Roman"/>
          <w:sz w:val="24"/>
          <w:szCs w:val="24"/>
        </w:rPr>
        <w:tab/>
        <w:t xml:space="preserve">Извършени са дейности по привличане </w:t>
      </w:r>
      <w:r w:rsidR="002C5337" w:rsidRPr="005A4CD7">
        <w:rPr>
          <w:rFonts w:ascii="Times New Roman" w:eastAsia="Calibri" w:hAnsi="Times New Roman" w:cs="Times New Roman"/>
          <w:sz w:val="24"/>
          <w:szCs w:val="24"/>
        </w:rPr>
        <w:t>на медицински персонал</w:t>
      </w:r>
      <w:r w:rsidR="00EB1422" w:rsidRPr="005A4CD7">
        <w:rPr>
          <w:rFonts w:ascii="Times New Roman" w:eastAsia="Calibri" w:hAnsi="Times New Roman" w:cs="Times New Roman"/>
          <w:sz w:val="24"/>
          <w:szCs w:val="24"/>
        </w:rPr>
        <w:t>,</w:t>
      </w:r>
      <w:r w:rsidR="002C5337" w:rsidRPr="005A4CD7">
        <w:rPr>
          <w:rFonts w:ascii="Times New Roman" w:eastAsia="Calibri" w:hAnsi="Times New Roman" w:cs="Times New Roman"/>
          <w:sz w:val="24"/>
          <w:szCs w:val="24"/>
        </w:rPr>
        <w:t xml:space="preserve"> притежаващ</w:t>
      </w:r>
      <w:r w:rsidRPr="005A4CD7">
        <w:rPr>
          <w:rFonts w:ascii="Times New Roman" w:eastAsia="Calibri" w:hAnsi="Times New Roman" w:cs="Times New Roman"/>
          <w:sz w:val="24"/>
          <w:szCs w:val="24"/>
        </w:rPr>
        <w:t xml:space="preserve"> </w:t>
      </w:r>
      <w:r w:rsidR="002C5337" w:rsidRPr="005A4CD7">
        <w:rPr>
          <w:rFonts w:ascii="Times New Roman" w:eastAsia="Calibri" w:hAnsi="Times New Roman" w:cs="Times New Roman"/>
          <w:sz w:val="24"/>
          <w:szCs w:val="24"/>
        </w:rPr>
        <w:t xml:space="preserve">необходимата </w:t>
      </w:r>
      <w:r w:rsidRPr="005A4CD7">
        <w:rPr>
          <w:rFonts w:ascii="Times New Roman" w:eastAsia="Calibri" w:hAnsi="Times New Roman" w:cs="Times New Roman"/>
          <w:sz w:val="24"/>
          <w:szCs w:val="24"/>
        </w:rPr>
        <w:t>квалифи</w:t>
      </w:r>
      <w:r w:rsidR="002C5337" w:rsidRPr="005A4CD7">
        <w:rPr>
          <w:rFonts w:ascii="Times New Roman" w:eastAsia="Calibri" w:hAnsi="Times New Roman" w:cs="Times New Roman"/>
          <w:sz w:val="24"/>
          <w:szCs w:val="24"/>
        </w:rPr>
        <w:t>кация и</w:t>
      </w:r>
      <w:r w:rsidRPr="005A4CD7">
        <w:rPr>
          <w:rFonts w:ascii="Times New Roman" w:eastAsia="Calibri" w:hAnsi="Times New Roman" w:cs="Times New Roman"/>
          <w:sz w:val="24"/>
          <w:szCs w:val="24"/>
        </w:rPr>
        <w:t xml:space="preserve"> специали</w:t>
      </w:r>
      <w:r w:rsidR="002C5337" w:rsidRPr="005A4CD7">
        <w:rPr>
          <w:rFonts w:ascii="Times New Roman" w:eastAsia="Calibri" w:hAnsi="Times New Roman" w:cs="Times New Roman"/>
          <w:sz w:val="24"/>
          <w:szCs w:val="24"/>
        </w:rPr>
        <w:t>зация</w:t>
      </w:r>
      <w:r w:rsidRPr="005A4CD7">
        <w:rPr>
          <w:rFonts w:ascii="Times New Roman" w:eastAsia="Calibri" w:hAnsi="Times New Roman" w:cs="Times New Roman"/>
          <w:sz w:val="24"/>
          <w:szCs w:val="24"/>
        </w:rPr>
        <w:t>, ко</w:t>
      </w:r>
      <w:r w:rsidR="002C5337" w:rsidRPr="005A4CD7">
        <w:rPr>
          <w:rFonts w:ascii="Times New Roman" w:eastAsia="Calibri" w:hAnsi="Times New Roman" w:cs="Times New Roman"/>
          <w:sz w:val="24"/>
          <w:szCs w:val="24"/>
        </w:rPr>
        <w:t>и</w:t>
      </w:r>
      <w:r w:rsidRPr="005A4CD7">
        <w:rPr>
          <w:rFonts w:ascii="Times New Roman" w:eastAsia="Calibri" w:hAnsi="Times New Roman" w:cs="Times New Roman"/>
          <w:sz w:val="24"/>
          <w:szCs w:val="24"/>
        </w:rPr>
        <w:t>то</w:t>
      </w:r>
      <w:r w:rsidR="002C5337" w:rsidRPr="005A4CD7">
        <w:rPr>
          <w:rFonts w:ascii="Times New Roman" w:eastAsia="Calibri" w:hAnsi="Times New Roman" w:cs="Times New Roman"/>
          <w:sz w:val="24"/>
          <w:szCs w:val="24"/>
        </w:rPr>
        <w:t xml:space="preserve"> да бъдат назначени на вакантните длъжности, което от своя страна позвол</w:t>
      </w:r>
      <w:r w:rsidR="0053048A" w:rsidRPr="005A4CD7">
        <w:rPr>
          <w:rFonts w:ascii="Times New Roman" w:eastAsia="Calibri" w:hAnsi="Times New Roman" w:cs="Times New Roman"/>
          <w:sz w:val="24"/>
          <w:szCs w:val="24"/>
        </w:rPr>
        <w:t>ява</w:t>
      </w:r>
      <w:r w:rsidR="002C5337" w:rsidRPr="005A4CD7">
        <w:rPr>
          <w:rFonts w:ascii="Times New Roman" w:eastAsia="Calibri" w:hAnsi="Times New Roman" w:cs="Times New Roman"/>
          <w:sz w:val="24"/>
          <w:szCs w:val="24"/>
        </w:rPr>
        <w:t xml:space="preserve"> на </w:t>
      </w:r>
      <w:r w:rsidR="0053048A" w:rsidRPr="005A4CD7">
        <w:rPr>
          <w:rFonts w:ascii="Times New Roman" w:eastAsia="Calibri" w:hAnsi="Times New Roman" w:cs="Times New Roman"/>
          <w:sz w:val="24"/>
          <w:szCs w:val="24"/>
        </w:rPr>
        <w:t xml:space="preserve">СБР „Света Богородица“ ЕООД </w:t>
      </w:r>
      <w:r w:rsidR="002C5337" w:rsidRPr="005A4CD7">
        <w:rPr>
          <w:rFonts w:ascii="Times New Roman" w:eastAsia="Calibri" w:hAnsi="Times New Roman" w:cs="Times New Roman"/>
          <w:sz w:val="24"/>
          <w:szCs w:val="24"/>
        </w:rPr>
        <w:t>в още по-висока степен да</w:t>
      </w:r>
      <w:r w:rsidRPr="005A4CD7">
        <w:rPr>
          <w:rFonts w:ascii="Times New Roman" w:eastAsia="Calibri" w:hAnsi="Times New Roman" w:cs="Times New Roman"/>
          <w:sz w:val="24"/>
          <w:szCs w:val="24"/>
        </w:rPr>
        <w:t xml:space="preserve"> </w:t>
      </w:r>
      <w:r w:rsidR="002C5337" w:rsidRPr="005A4CD7">
        <w:rPr>
          <w:rFonts w:ascii="Times New Roman" w:eastAsia="Calibri" w:hAnsi="Times New Roman" w:cs="Times New Roman"/>
          <w:sz w:val="24"/>
          <w:szCs w:val="24"/>
        </w:rPr>
        <w:t xml:space="preserve">изпълнява </w:t>
      </w:r>
      <w:r w:rsidRPr="005A4CD7">
        <w:rPr>
          <w:rFonts w:ascii="Times New Roman" w:eastAsia="Calibri" w:hAnsi="Times New Roman" w:cs="Times New Roman"/>
          <w:sz w:val="24"/>
          <w:szCs w:val="24"/>
        </w:rPr>
        <w:t>основни</w:t>
      </w:r>
      <w:r w:rsidR="002C5337" w:rsidRPr="005A4CD7">
        <w:rPr>
          <w:rFonts w:ascii="Times New Roman" w:eastAsia="Calibri" w:hAnsi="Times New Roman" w:cs="Times New Roman"/>
          <w:sz w:val="24"/>
          <w:szCs w:val="24"/>
        </w:rPr>
        <w:t>те си</w:t>
      </w:r>
      <w:r w:rsidRPr="005A4CD7">
        <w:rPr>
          <w:rFonts w:ascii="Times New Roman" w:eastAsia="Calibri" w:hAnsi="Times New Roman" w:cs="Times New Roman"/>
          <w:sz w:val="24"/>
          <w:szCs w:val="24"/>
        </w:rPr>
        <w:t xml:space="preserve"> задачи;</w:t>
      </w:r>
    </w:p>
    <w:p w14:paraId="3F262237" w14:textId="37BF45B4" w:rsidR="001810BF" w:rsidRPr="005A4CD7"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5A4CD7">
        <w:rPr>
          <w:rFonts w:ascii="Times New Roman" w:eastAsia="Calibri" w:hAnsi="Times New Roman" w:cs="Times New Roman"/>
          <w:sz w:val="24"/>
          <w:szCs w:val="24"/>
        </w:rPr>
        <w:t>•</w:t>
      </w:r>
      <w:r w:rsidRPr="005A4CD7">
        <w:rPr>
          <w:rFonts w:ascii="Times New Roman" w:eastAsia="Calibri" w:hAnsi="Times New Roman" w:cs="Times New Roman"/>
          <w:sz w:val="24"/>
          <w:szCs w:val="24"/>
        </w:rPr>
        <w:tab/>
        <w:t>осигур</w:t>
      </w:r>
      <w:r w:rsidR="0053048A" w:rsidRPr="005A4CD7">
        <w:rPr>
          <w:rFonts w:ascii="Times New Roman" w:eastAsia="Calibri" w:hAnsi="Times New Roman" w:cs="Times New Roman"/>
          <w:sz w:val="24"/>
          <w:szCs w:val="24"/>
        </w:rPr>
        <w:t>ена</w:t>
      </w:r>
      <w:r w:rsidRPr="005A4CD7">
        <w:rPr>
          <w:rFonts w:ascii="Times New Roman" w:eastAsia="Calibri" w:hAnsi="Times New Roman" w:cs="Times New Roman"/>
          <w:sz w:val="24"/>
          <w:szCs w:val="24"/>
        </w:rPr>
        <w:t xml:space="preserve"> </w:t>
      </w:r>
      <w:r w:rsidR="005A4CD7" w:rsidRPr="005A4CD7">
        <w:rPr>
          <w:rFonts w:ascii="Times New Roman" w:eastAsia="Calibri" w:hAnsi="Times New Roman" w:cs="Times New Roman"/>
          <w:sz w:val="24"/>
          <w:szCs w:val="24"/>
        </w:rPr>
        <w:t xml:space="preserve">е </w:t>
      </w:r>
      <w:r w:rsidRPr="005A4CD7">
        <w:rPr>
          <w:rFonts w:ascii="Times New Roman" w:eastAsia="Calibri" w:hAnsi="Times New Roman" w:cs="Times New Roman"/>
          <w:sz w:val="24"/>
          <w:szCs w:val="24"/>
        </w:rPr>
        <w:t>възможност за допълнителна квалификация</w:t>
      </w:r>
      <w:r w:rsidR="005A4CD7" w:rsidRPr="005A4CD7">
        <w:rPr>
          <w:rFonts w:ascii="Times New Roman" w:eastAsia="Calibri" w:hAnsi="Times New Roman" w:cs="Times New Roman"/>
          <w:sz w:val="24"/>
          <w:szCs w:val="24"/>
        </w:rPr>
        <w:t xml:space="preserve"> </w:t>
      </w:r>
      <w:r w:rsidR="002C5337" w:rsidRPr="005A4CD7">
        <w:rPr>
          <w:rFonts w:ascii="Times New Roman" w:eastAsia="Calibri" w:hAnsi="Times New Roman" w:cs="Times New Roman"/>
          <w:sz w:val="24"/>
          <w:szCs w:val="24"/>
        </w:rPr>
        <w:t xml:space="preserve">на работещите в </w:t>
      </w:r>
      <w:r w:rsidR="0053048A" w:rsidRPr="005A4CD7">
        <w:rPr>
          <w:rFonts w:ascii="Times New Roman" w:eastAsia="Calibri" w:hAnsi="Times New Roman" w:cs="Times New Roman"/>
          <w:sz w:val="24"/>
          <w:szCs w:val="24"/>
        </w:rPr>
        <w:t>болницата</w:t>
      </w:r>
      <w:r w:rsidR="002C5337" w:rsidRPr="005A4CD7">
        <w:rPr>
          <w:rFonts w:ascii="Times New Roman" w:eastAsia="Calibri" w:hAnsi="Times New Roman" w:cs="Times New Roman"/>
          <w:sz w:val="24"/>
          <w:szCs w:val="24"/>
        </w:rPr>
        <w:t xml:space="preserve"> специалисти;</w:t>
      </w:r>
    </w:p>
    <w:p w14:paraId="2574A33F" w14:textId="1658AC59" w:rsidR="0053048A" w:rsidRPr="00BA277C" w:rsidRDefault="002C5337"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E80B40">
        <w:rPr>
          <w:rFonts w:ascii="Times New Roman" w:eastAsia="Calibri" w:hAnsi="Times New Roman" w:cs="Times New Roman"/>
          <w:sz w:val="24"/>
          <w:szCs w:val="24"/>
        </w:rPr>
        <w:t>•</w:t>
      </w:r>
      <w:r w:rsidRPr="00E80B40">
        <w:rPr>
          <w:rFonts w:ascii="Times New Roman" w:eastAsia="Calibri" w:hAnsi="Times New Roman" w:cs="Times New Roman"/>
          <w:sz w:val="24"/>
          <w:szCs w:val="24"/>
        </w:rPr>
        <w:tab/>
      </w:r>
      <w:r w:rsidR="00BA277C" w:rsidRPr="00E80B40">
        <w:rPr>
          <w:rFonts w:ascii="Times New Roman" w:eastAsia="Calibri" w:hAnsi="Times New Roman" w:cs="Times New Roman"/>
          <w:bCs/>
          <w:sz w:val="24"/>
          <w:szCs w:val="24"/>
        </w:rPr>
        <w:t xml:space="preserve">Броят на пациентите, лекувани в </w:t>
      </w:r>
      <w:bookmarkStart w:id="12" w:name="_Hlk179968930"/>
      <w:r w:rsidR="003832D0" w:rsidRPr="00E80B40">
        <w:rPr>
          <w:rFonts w:ascii="Times New Roman" w:eastAsia="Calibri" w:hAnsi="Times New Roman" w:cs="Times New Roman"/>
          <w:bCs/>
          <w:sz w:val="24"/>
          <w:szCs w:val="24"/>
        </w:rPr>
        <w:t xml:space="preserve">СБР </w:t>
      </w:r>
      <w:r w:rsidR="00BA277C" w:rsidRPr="00E80B40">
        <w:rPr>
          <w:rFonts w:ascii="Times New Roman" w:eastAsia="Calibri" w:hAnsi="Times New Roman" w:cs="Times New Roman"/>
          <w:bCs/>
          <w:sz w:val="24"/>
          <w:szCs w:val="24"/>
        </w:rPr>
        <w:t xml:space="preserve">„Света Богородица” </w:t>
      </w:r>
      <w:bookmarkEnd w:id="12"/>
      <w:r w:rsidR="00BA277C" w:rsidRPr="00E80B40">
        <w:rPr>
          <w:rFonts w:ascii="Times New Roman" w:eastAsia="Calibri" w:hAnsi="Times New Roman" w:cs="Times New Roman"/>
          <w:bCs/>
          <w:sz w:val="24"/>
          <w:szCs w:val="24"/>
        </w:rPr>
        <w:t xml:space="preserve">за </w:t>
      </w:r>
      <w:r w:rsidR="00E1591E" w:rsidRPr="00E80B40">
        <w:rPr>
          <w:rFonts w:ascii="Times New Roman" w:eastAsia="Calibri" w:hAnsi="Times New Roman" w:cs="Times New Roman"/>
          <w:bCs/>
          <w:sz w:val="24"/>
          <w:szCs w:val="24"/>
        </w:rPr>
        <w:t>деветмесечие</w:t>
      </w:r>
      <w:r w:rsidR="00BA277C" w:rsidRPr="00E80B40">
        <w:rPr>
          <w:rFonts w:ascii="Times New Roman" w:eastAsia="Calibri" w:hAnsi="Times New Roman" w:cs="Times New Roman"/>
          <w:bCs/>
          <w:sz w:val="24"/>
          <w:szCs w:val="24"/>
        </w:rPr>
        <w:t>то на 202</w:t>
      </w:r>
      <w:r w:rsidR="00EB1422" w:rsidRPr="00E80B40">
        <w:rPr>
          <w:rFonts w:ascii="Times New Roman" w:eastAsia="Calibri" w:hAnsi="Times New Roman" w:cs="Times New Roman"/>
          <w:bCs/>
          <w:sz w:val="24"/>
          <w:szCs w:val="24"/>
        </w:rPr>
        <w:t>4</w:t>
      </w:r>
      <w:r w:rsidR="00BA277C" w:rsidRPr="00E80B40">
        <w:rPr>
          <w:rFonts w:ascii="Times New Roman" w:eastAsia="Calibri" w:hAnsi="Times New Roman" w:cs="Times New Roman"/>
          <w:bCs/>
          <w:sz w:val="24"/>
          <w:szCs w:val="24"/>
        </w:rPr>
        <w:t xml:space="preserve"> год</w:t>
      </w:r>
      <w:r w:rsidR="00206C2E" w:rsidRPr="00E80B40">
        <w:rPr>
          <w:rFonts w:ascii="Times New Roman" w:eastAsia="Calibri" w:hAnsi="Times New Roman" w:cs="Times New Roman"/>
          <w:bCs/>
          <w:sz w:val="24"/>
          <w:szCs w:val="24"/>
        </w:rPr>
        <w:t>.</w:t>
      </w:r>
      <w:r w:rsidR="00BA277C" w:rsidRPr="00E80B40">
        <w:rPr>
          <w:rFonts w:ascii="Times New Roman" w:eastAsia="Calibri" w:hAnsi="Times New Roman" w:cs="Times New Roman"/>
          <w:bCs/>
          <w:sz w:val="24"/>
          <w:szCs w:val="24"/>
        </w:rPr>
        <w:t>,</w:t>
      </w:r>
      <w:r w:rsidR="00206C2E" w:rsidRPr="00E80B40">
        <w:rPr>
          <w:rFonts w:ascii="Times New Roman" w:eastAsia="Calibri" w:hAnsi="Times New Roman" w:cs="Times New Roman"/>
          <w:bCs/>
          <w:sz w:val="24"/>
          <w:szCs w:val="24"/>
        </w:rPr>
        <w:t xml:space="preserve"> съпоставен с</w:t>
      </w:r>
      <w:r w:rsidR="00E80B40" w:rsidRPr="00E80B40">
        <w:rPr>
          <w:rFonts w:ascii="Times New Roman" w:eastAsia="Calibri" w:hAnsi="Times New Roman" w:cs="Times New Roman"/>
          <w:bCs/>
          <w:sz w:val="24"/>
          <w:szCs w:val="24"/>
        </w:rPr>
        <w:t>ъс</w:t>
      </w:r>
      <w:r w:rsidR="00206C2E" w:rsidRPr="00E80B40">
        <w:rPr>
          <w:rFonts w:ascii="Times New Roman" w:eastAsia="Calibri" w:hAnsi="Times New Roman" w:cs="Times New Roman"/>
          <w:bCs/>
          <w:sz w:val="24"/>
          <w:szCs w:val="24"/>
        </w:rPr>
        <w:t xml:space="preserve"> съответния период на 202</w:t>
      </w:r>
      <w:r w:rsidR="00EB1422" w:rsidRPr="00E80B40">
        <w:rPr>
          <w:rFonts w:ascii="Times New Roman" w:eastAsia="Calibri" w:hAnsi="Times New Roman" w:cs="Times New Roman"/>
          <w:bCs/>
          <w:sz w:val="24"/>
          <w:szCs w:val="24"/>
        </w:rPr>
        <w:t>3</w:t>
      </w:r>
      <w:r w:rsidR="00206C2E" w:rsidRPr="00E80B40">
        <w:rPr>
          <w:rFonts w:ascii="Times New Roman" w:eastAsia="Calibri" w:hAnsi="Times New Roman" w:cs="Times New Roman"/>
          <w:bCs/>
          <w:sz w:val="24"/>
          <w:szCs w:val="24"/>
        </w:rPr>
        <w:t xml:space="preserve"> г.</w:t>
      </w:r>
      <w:r w:rsidR="00BA277C" w:rsidRPr="00E80B40">
        <w:rPr>
          <w:rFonts w:ascii="Times New Roman" w:eastAsia="Calibri" w:hAnsi="Times New Roman" w:cs="Times New Roman"/>
          <w:bCs/>
          <w:sz w:val="24"/>
          <w:szCs w:val="24"/>
        </w:rPr>
        <w:t xml:space="preserve"> е с </w:t>
      </w:r>
      <w:r w:rsidR="00E80B40" w:rsidRPr="00E80B40">
        <w:rPr>
          <w:rFonts w:ascii="Times New Roman" w:eastAsia="Calibri" w:hAnsi="Times New Roman" w:cs="Times New Roman"/>
          <w:bCs/>
          <w:sz w:val="24"/>
          <w:szCs w:val="24"/>
        </w:rPr>
        <w:t>310</w:t>
      </w:r>
      <w:r w:rsidR="00EB1422" w:rsidRPr="00E80B40">
        <w:rPr>
          <w:rFonts w:ascii="Times New Roman" w:eastAsia="Calibri" w:hAnsi="Times New Roman" w:cs="Times New Roman"/>
          <w:bCs/>
          <w:sz w:val="24"/>
          <w:szCs w:val="24"/>
        </w:rPr>
        <w:t xml:space="preserve"> по-малко</w:t>
      </w:r>
      <w:r w:rsidR="00BA277C" w:rsidRPr="00E80B40">
        <w:rPr>
          <w:rFonts w:ascii="Times New Roman" w:eastAsia="Calibri" w:hAnsi="Times New Roman" w:cs="Times New Roman"/>
          <w:bCs/>
          <w:sz w:val="24"/>
          <w:szCs w:val="24"/>
        </w:rPr>
        <w:t xml:space="preserve">, но реализираните леглодни са със </w:t>
      </w:r>
      <w:r w:rsidR="00E80B40" w:rsidRPr="00E80B40">
        <w:rPr>
          <w:rFonts w:ascii="Times New Roman" w:eastAsia="Calibri" w:hAnsi="Times New Roman" w:cs="Times New Roman"/>
          <w:bCs/>
          <w:sz w:val="24"/>
          <w:szCs w:val="24"/>
        </w:rPr>
        <w:t xml:space="preserve">405 </w:t>
      </w:r>
      <w:r w:rsidR="00BA277C" w:rsidRPr="00E80B40">
        <w:rPr>
          <w:rFonts w:ascii="Times New Roman" w:eastAsia="Calibri" w:hAnsi="Times New Roman" w:cs="Times New Roman"/>
          <w:bCs/>
          <w:sz w:val="24"/>
          <w:szCs w:val="24"/>
        </w:rPr>
        <w:t>повече.</w:t>
      </w:r>
      <w:r w:rsidR="00206C2E" w:rsidRPr="003832D0">
        <w:rPr>
          <w:rFonts w:ascii="Times New Roman" w:eastAsia="Calibri" w:hAnsi="Times New Roman" w:cs="Times New Roman"/>
          <w:bCs/>
          <w:sz w:val="24"/>
          <w:szCs w:val="24"/>
        </w:rPr>
        <w:t xml:space="preserve"> </w:t>
      </w:r>
    </w:p>
    <w:p w14:paraId="0FC5C547" w14:textId="77777777" w:rsidR="00B66E36" w:rsidRDefault="00B66E36"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p>
    <w:p w14:paraId="77D92670" w14:textId="204EA621" w:rsidR="00E80B40" w:rsidRPr="00E80B40" w:rsidRDefault="00E80B40" w:rsidP="00E80B40">
      <w:pPr>
        <w:pStyle w:val="a5"/>
        <w:tabs>
          <w:tab w:val="left" w:pos="1276"/>
        </w:tabs>
        <w:suppressAutoHyphens/>
        <w:spacing w:after="0" w:line="240" w:lineRule="auto"/>
        <w:ind w:left="0" w:firstLine="709"/>
        <w:jc w:val="both"/>
        <w:rPr>
          <w:rFonts w:ascii="Times New Roman" w:eastAsia="Calibri" w:hAnsi="Times New Roman" w:cs="Times New Roman"/>
          <w:bCs/>
          <w:sz w:val="24"/>
          <w:szCs w:val="24"/>
        </w:rPr>
      </w:pPr>
      <w:r>
        <w:rPr>
          <w:rFonts w:ascii="Times New Roman" w:eastAsia="Calibri" w:hAnsi="Times New Roman" w:cs="Times New Roman"/>
          <w:sz w:val="24"/>
          <w:szCs w:val="24"/>
        </w:rPr>
        <w:t xml:space="preserve">Ръководството на </w:t>
      </w:r>
      <w:r w:rsidRPr="00E80B40">
        <w:rPr>
          <w:rFonts w:ascii="Times New Roman" w:eastAsia="Calibri" w:hAnsi="Times New Roman" w:cs="Times New Roman"/>
          <w:sz w:val="24"/>
          <w:szCs w:val="24"/>
        </w:rPr>
        <w:t>СБР „Света Богородица” се придържа към програма за развитие в следващите пет години, а именно:</w:t>
      </w:r>
    </w:p>
    <w:p w14:paraId="60A49038" w14:textId="77777777" w:rsidR="00E80B40" w:rsidRPr="00E80B40" w:rsidRDefault="00E80B40" w:rsidP="00E80B40">
      <w:pPr>
        <w:pStyle w:val="a5"/>
        <w:tabs>
          <w:tab w:val="left" w:pos="1276"/>
        </w:tabs>
        <w:suppressAutoHyphens/>
        <w:spacing w:line="240" w:lineRule="auto"/>
        <w:ind w:left="0" w:firstLine="709"/>
        <w:jc w:val="both"/>
        <w:rPr>
          <w:rFonts w:ascii="Times New Roman" w:eastAsia="Calibri" w:hAnsi="Times New Roman" w:cs="Times New Roman"/>
          <w:bCs/>
          <w:sz w:val="24"/>
          <w:szCs w:val="24"/>
        </w:rPr>
      </w:pPr>
      <w:r w:rsidRPr="00E80B40">
        <w:rPr>
          <w:rFonts w:ascii="Times New Roman" w:eastAsia="Calibri" w:hAnsi="Times New Roman" w:cs="Times New Roman"/>
          <w:sz w:val="24"/>
          <w:szCs w:val="24"/>
        </w:rPr>
        <w:t>1. Обновяване и осъвременяване на материалната база, с цел подобряване на битовите условия и условията за лечение на пациентите.</w:t>
      </w:r>
    </w:p>
    <w:p w14:paraId="243DA629" w14:textId="77777777" w:rsidR="00E80B40" w:rsidRPr="00E80B40" w:rsidRDefault="00E80B40" w:rsidP="00E80B40">
      <w:pPr>
        <w:pStyle w:val="a5"/>
        <w:tabs>
          <w:tab w:val="left" w:pos="1276"/>
        </w:tabs>
        <w:suppressAutoHyphens/>
        <w:spacing w:line="240" w:lineRule="auto"/>
        <w:ind w:left="0" w:firstLine="709"/>
        <w:jc w:val="both"/>
        <w:rPr>
          <w:rFonts w:ascii="Times New Roman" w:eastAsia="Calibri" w:hAnsi="Times New Roman" w:cs="Times New Roman"/>
          <w:bCs/>
          <w:sz w:val="24"/>
          <w:szCs w:val="24"/>
        </w:rPr>
      </w:pPr>
      <w:r w:rsidRPr="00E80B40">
        <w:rPr>
          <w:rFonts w:ascii="Times New Roman" w:eastAsia="Calibri" w:hAnsi="Times New Roman" w:cs="Times New Roman"/>
          <w:sz w:val="24"/>
          <w:szCs w:val="24"/>
        </w:rPr>
        <w:t>2. Подобряване качеството на приема на пациентите, извършването на диагностични и лечебни услуги и постигане на пълен комфорт при битовото им обслужване.</w:t>
      </w:r>
    </w:p>
    <w:p w14:paraId="6C1C495C" w14:textId="77777777" w:rsidR="00E80B40" w:rsidRPr="00E80B40" w:rsidRDefault="00E80B40" w:rsidP="00E80B40">
      <w:pPr>
        <w:pStyle w:val="a5"/>
        <w:tabs>
          <w:tab w:val="left" w:pos="1276"/>
        </w:tabs>
        <w:suppressAutoHyphens/>
        <w:spacing w:line="240" w:lineRule="auto"/>
        <w:ind w:left="0" w:firstLine="709"/>
        <w:jc w:val="both"/>
        <w:rPr>
          <w:rFonts w:ascii="Times New Roman" w:eastAsia="Calibri" w:hAnsi="Times New Roman" w:cs="Times New Roman"/>
          <w:bCs/>
          <w:sz w:val="24"/>
          <w:szCs w:val="24"/>
        </w:rPr>
      </w:pPr>
      <w:r w:rsidRPr="00E80B40">
        <w:rPr>
          <w:rFonts w:ascii="Times New Roman" w:eastAsia="Calibri" w:hAnsi="Times New Roman" w:cs="Times New Roman"/>
          <w:sz w:val="24"/>
          <w:szCs w:val="24"/>
        </w:rPr>
        <w:t>3. Преразглеждане и утвърждаване на механизмите за управление и разпределение на материалните, финансовите и човешките  ресурси.</w:t>
      </w:r>
    </w:p>
    <w:p w14:paraId="14373FCB" w14:textId="77777777" w:rsidR="00E80B40" w:rsidRPr="00E80B40" w:rsidRDefault="00E80B40" w:rsidP="00E80B40">
      <w:pPr>
        <w:pStyle w:val="a5"/>
        <w:tabs>
          <w:tab w:val="left" w:pos="1276"/>
        </w:tabs>
        <w:suppressAutoHyphens/>
        <w:spacing w:after="0" w:line="240" w:lineRule="auto"/>
        <w:ind w:left="0" w:firstLine="709"/>
        <w:jc w:val="both"/>
        <w:rPr>
          <w:rFonts w:ascii="Times New Roman" w:eastAsia="Calibri" w:hAnsi="Times New Roman" w:cs="Times New Roman"/>
          <w:sz w:val="24"/>
          <w:szCs w:val="24"/>
        </w:rPr>
      </w:pPr>
      <w:r w:rsidRPr="00E80B40">
        <w:rPr>
          <w:rFonts w:ascii="Times New Roman" w:eastAsia="Calibri" w:hAnsi="Times New Roman" w:cs="Times New Roman"/>
          <w:sz w:val="24"/>
          <w:szCs w:val="24"/>
        </w:rPr>
        <w:t>4. Разширяване пазара на медицинските услуги на болницата чрез сключване на договори с МО, НЗОК, туроператорски фирми, осъществяване на рекламна дейност, задълбочаване на контакти с Военно-медицинска академия и подчинените й здравни заведения - Министерство на здравеопазването, ПРО, Асоциацията по балнеология, както и с общински и районни болници, профилни завеждащи клиники и отделения в тези болници и общо практикуващи лекари.</w:t>
      </w:r>
    </w:p>
    <w:p w14:paraId="5A9820DF" w14:textId="77777777" w:rsidR="00E80B40" w:rsidRPr="000837AE" w:rsidRDefault="00E80B40"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p>
    <w:bookmarkEnd w:id="11"/>
    <w:p w14:paraId="030FDE62" w14:textId="2FB5CD65" w:rsidR="00A75659" w:rsidRDefault="00A75659" w:rsidP="00A75659">
      <w:pPr>
        <w:keepNext/>
        <w:spacing w:after="0" w:line="240" w:lineRule="auto"/>
        <w:ind w:firstLine="851"/>
        <w:jc w:val="both"/>
        <w:outlineLvl w:val="0"/>
        <w:rPr>
          <w:rFonts w:ascii="Times New Roman" w:eastAsia="Times New Roman" w:hAnsi="Times New Roman" w:cs="Times New Roman"/>
          <w:bCs/>
          <w:sz w:val="24"/>
          <w:szCs w:val="24"/>
        </w:rPr>
      </w:pPr>
      <w:r w:rsidRPr="00A75659">
        <w:rPr>
          <w:rFonts w:ascii="Times New Roman" w:eastAsia="Times New Roman" w:hAnsi="Times New Roman" w:cs="Times New Roman"/>
          <w:bCs/>
          <w:sz w:val="24"/>
          <w:szCs w:val="24"/>
        </w:rPr>
        <w:t xml:space="preserve">По изпълнение на програмата за развитие на лечебното заведение за </w:t>
      </w:r>
      <w:r w:rsidR="00E1591E">
        <w:rPr>
          <w:rFonts w:ascii="Times New Roman" w:eastAsia="Times New Roman" w:hAnsi="Times New Roman" w:cs="Times New Roman"/>
          <w:bCs/>
          <w:sz w:val="24"/>
          <w:szCs w:val="24"/>
        </w:rPr>
        <w:t>деветмесечието</w:t>
      </w:r>
      <w:r w:rsidRPr="00A75659">
        <w:rPr>
          <w:rFonts w:ascii="Times New Roman" w:eastAsia="Times New Roman" w:hAnsi="Times New Roman" w:cs="Times New Roman"/>
          <w:bCs/>
          <w:sz w:val="24"/>
          <w:szCs w:val="24"/>
        </w:rPr>
        <w:t xml:space="preserve"> на 202</w:t>
      </w:r>
      <w:r>
        <w:rPr>
          <w:rFonts w:ascii="Times New Roman" w:eastAsia="Times New Roman" w:hAnsi="Times New Roman" w:cs="Times New Roman"/>
          <w:bCs/>
          <w:sz w:val="24"/>
          <w:szCs w:val="24"/>
        </w:rPr>
        <w:t>4</w:t>
      </w:r>
      <w:r w:rsidRPr="00A75659">
        <w:rPr>
          <w:rFonts w:ascii="Times New Roman" w:eastAsia="Times New Roman" w:hAnsi="Times New Roman" w:cs="Times New Roman"/>
          <w:bCs/>
          <w:sz w:val="24"/>
          <w:szCs w:val="24"/>
        </w:rPr>
        <w:t xml:space="preserve"> година, съгласно посочените по-долу основни показатели, резултатите са следните:</w:t>
      </w:r>
    </w:p>
    <w:p w14:paraId="4E2777F7" w14:textId="77777777" w:rsidR="00E80B40" w:rsidRPr="00636465" w:rsidRDefault="00E80B40" w:rsidP="00E80B40">
      <w:pPr>
        <w:keepNext/>
        <w:spacing w:after="0" w:line="240" w:lineRule="auto"/>
        <w:ind w:firstLine="851"/>
        <w:rPr>
          <w:rFonts w:ascii="Times New Roman" w:eastAsia="Times New Roman" w:hAnsi="Times New Roman" w:cs="Times New Roman"/>
          <w:b/>
          <w:bCs/>
          <w:iCs/>
          <w:sz w:val="20"/>
          <w:szCs w:val="24"/>
        </w:rPr>
      </w:pPr>
      <w:r w:rsidRPr="00636465">
        <w:rPr>
          <w:rFonts w:ascii="Times New Roman" w:eastAsia="Times New Roman" w:hAnsi="Times New Roman" w:cs="Times New Roman"/>
          <w:b/>
          <w:bCs/>
          <w:iCs/>
          <w:sz w:val="20"/>
          <w:szCs w:val="24"/>
        </w:rPr>
        <w:t>Таблица 10</w:t>
      </w:r>
    </w:p>
    <w:tbl>
      <w:tblPr>
        <w:tblW w:w="8516" w:type="dxa"/>
        <w:jc w:val="center"/>
        <w:tblCellMar>
          <w:left w:w="70" w:type="dxa"/>
          <w:right w:w="70" w:type="dxa"/>
        </w:tblCellMar>
        <w:tblLook w:val="04A0" w:firstRow="1" w:lastRow="0" w:firstColumn="1" w:lastColumn="0" w:noHBand="0" w:noVBand="1"/>
      </w:tblPr>
      <w:tblGrid>
        <w:gridCol w:w="5444"/>
        <w:gridCol w:w="1536"/>
        <w:gridCol w:w="1536"/>
      </w:tblGrid>
      <w:tr w:rsidR="003B5EAC" w:rsidRPr="003B5EAC" w14:paraId="22C2A28A" w14:textId="77777777" w:rsidTr="00E80B40">
        <w:trPr>
          <w:trHeight w:val="749"/>
          <w:jc w:val="center"/>
        </w:trPr>
        <w:tc>
          <w:tcPr>
            <w:tcW w:w="5444"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147DB584" w14:textId="77777777" w:rsidR="00A75659" w:rsidRPr="003B5EAC" w:rsidRDefault="00A75659" w:rsidP="00A75659">
            <w:pPr>
              <w:spacing w:after="0" w:line="240" w:lineRule="auto"/>
              <w:jc w:val="center"/>
              <w:rPr>
                <w:rFonts w:ascii="Times New Roman" w:eastAsia="Times New Roman" w:hAnsi="Times New Roman" w:cs="Times New Roman"/>
                <w:b/>
                <w:bCs/>
                <w:color w:val="FFFFFF"/>
                <w:sz w:val="18"/>
                <w:szCs w:val="18"/>
                <w:lang w:eastAsia="bg-BG"/>
              </w:rPr>
            </w:pPr>
            <w:r w:rsidRPr="003B5EAC">
              <w:rPr>
                <w:rFonts w:ascii="Times New Roman" w:eastAsia="Times New Roman" w:hAnsi="Times New Roman" w:cs="Times New Roman"/>
                <w:b/>
                <w:bCs/>
                <w:color w:val="FFFFFF"/>
                <w:sz w:val="18"/>
                <w:szCs w:val="18"/>
                <w:lang w:eastAsia="bg-BG"/>
              </w:rPr>
              <w:t>Показатели</w:t>
            </w:r>
          </w:p>
        </w:tc>
        <w:tc>
          <w:tcPr>
            <w:tcW w:w="1536" w:type="dxa"/>
            <w:tcBorders>
              <w:top w:val="single" w:sz="8" w:space="0" w:color="FFFFFF"/>
              <w:left w:val="nil"/>
              <w:bottom w:val="single" w:sz="8" w:space="0" w:color="FFFFFF"/>
              <w:right w:val="single" w:sz="8" w:space="0" w:color="FFFFFF"/>
            </w:tcBorders>
            <w:shd w:val="clear" w:color="000000" w:fill="F79646"/>
            <w:vAlign w:val="center"/>
            <w:hideMark/>
          </w:tcPr>
          <w:p w14:paraId="35A956F4" w14:textId="4835ACB7" w:rsidR="00A75659" w:rsidRPr="003B5EAC" w:rsidRDefault="00A75659" w:rsidP="00A75659">
            <w:pPr>
              <w:spacing w:after="0" w:line="240" w:lineRule="auto"/>
              <w:jc w:val="center"/>
              <w:rPr>
                <w:rFonts w:ascii="Times New Roman" w:eastAsia="Times New Roman" w:hAnsi="Times New Roman" w:cs="Times New Roman"/>
                <w:b/>
                <w:bCs/>
                <w:color w:val="FFFFFF"/>
                <w:sz w:val="18"/>
                <w:szCs w:val="18"/>
                <w:lang w:eastAsia="bg-BG"/>
              </w:rPr>
            </w:pPr>
            <w:r w:rsidRPr="003B5EAC">
              <w:rPr>
                <w:rFonts w:ascii="Times New Roman" w:eastAsia="Times New Roman" w:hAnsi="Times New Roman" w:cs="Times New Roman"/>
                <w:b/>
                <w:bCs/>
                <w:color w:val="FFFFFF"/>
                <w:sz w:val="18"/>
                <w:szCs w:val="18"/>
                <w:lang w:eastAsia="bg-BG"/>
              </w:rPr>
              <w:t xml:space="preserve">Отчет за </w:t>
            </w:r>
            <w:r w:rsidR="00E1591E" w:rsidRPr="003B5EAC">
              <w:rPr>
                <w:rFonts w:ascii="Times New Roman" w:eastAsia="Times New Roman" w:hAnsi="Times New Roman" w:cs="Times New Roman"/>
                <w:b/>
                <w:bCs/>
                <w:color w:val="FFFFFF"/>
                <w:sz w:val="18"/>
                <w:szCs w:val="18"/>
                <w:lang w:eastAsia="bg-BG"/>
              </w:rPr>
              <w:t>деве</w:t>
            </w:r>
            <w:r w:rsidRPr="003B5EAC">
              <w:rPr>
                <w:rFonts w:ascii="Times New Roman" w:eastAsia="Times New Roman" w:hAnsi="Times New Roman" w:cs="Times New Roman"/>
                <w:b/>
                <w:bCs/>
                <w:color w:val="FFFFFF"/>
                <w:sz w:val="18"/>
                <w:szCs w:val="18"/>
                <w:lang w:eastAsia="bg-BG"/>
              </w:rPr>
              <w:t>месечието на 2024 г.</w:t>
            </w:r>
          </w:p>
        </w:tc>
        <w:tc>
          <w:tcPr>
            <w:tcW w:w="1536" w:type="dxa"/>
            <w:tcBorders>
              <w:top w:val="single" w:sz="8" w:space="0" w:color="FFFFFF"/>
              <w:left w:val="nil"/>
              <w:bottom w:val="single" w:sz="8" w:space="0" w:color="FFFFFF"/>
              <w:right w:val="single" w:sz="8" w:space="0" w:color="FFFFFF"/>
            </w:tcBorders>
            <w:shd w:val="clear" w:color="000000" w:fill="F79646"/>
            <w:vAlign w:val="center"/>
            <w:hideMark/>
          </w:tcPr>
          <w:p w14:paraId="3C79ABDA" w14:textId="10DAEE27" w:rsidR="00A75659" w:rsidRPr="003B5EAC" w:rsidRDefault="00A75659" w:rsidP="00A75659">
            <w:pPr>
              <w:spacing w:after="0" w:line="240" w:lineRule="auto"/>
              <w:jc w:val="center"/>
              <w:rPr>
                <w:rFonts w:ascii="Times New Roman" w:eastAsia="Times New Roman" w:hAnsi="Times New Roman" w:cs="Times New Roman"/>
                <w:b/>
                <w:bCs/>
                <w:color w:val="FFFFFF"/>
                <w:sz w:val="18"/>
                <w:szCs w:val="18"/>
                <w:lang w:eastAsia="bg-BG"/>
              </w:rPr>
            </w:pPr>
            <w:r w:rsidRPr="003B5EAC">
              <w:rPr>
                <w:rFonts w:ascii="Times New Roman" w:eastAsia="Times New Roman" w:hAnsi="Times New Roman" w:cs="Times New Roman"/>
                <w:b/>
                <w:bCs/>
                <w:color w:val="FFFFFF"/>
                <w:sz w:val="18"/>
                <w:szCs w:val="18"/>
                <w:lang w:eastAsia="bg-BG"/>
              </w:rPr>
              <w:t xml:space="preserve">Отчет за </w:t>
            </w:r>
            <w:r w:rsidR="00E1591E" w:rsidRPr="003B5EAC">
              <w:rPr>
                <w:rFonts w:ascii="Times New Roman" w:eastAsia="Times New Roman" w:hAnsi="Times New Roman" w:cs="Times New Roman"/>
                <w:b/>
                <w:bCs/>
                <w:color w:val="FFFFFF"/>
                <w:sz w:val="18"/>
                <w:szCs w:val="18"/>
                <w:lang w:eastAsia="bg-BG"/>
              </w:rPr>
              <w:t>деве</w:t>
            </w:r>
            <w:r w:rsidRPr="003B5EAC">
              <w:rPr>
                <w:rFonts w:ascii="Times New Roman" w:eastAsia="Times New Roman" w:hAnsi="Times New Roman" w:cs="Times New Roman"/>
                <w:b/>
                <w:bCs/>
                <w:color w:val="FFFFFF"/>
                <w:sz w:val="18"/>
                <w:szCs w:val="18"/>
                <w:lang w:eastAsia="bg-BG"/>
              </w:rPr>
              <w:t>тмесечието на 2023 г.</w:t>
            </w:r>
          </w:p>
        </w:tc>
      </w:tr>
      <w:tr w:rsidR="00A75659" w:rsidRPr="005A4CD7" w14:paraId="2A4B05AB" w14:textId="77777777" w:rsidTr="00E80B40">
        <w:trPr>
          <w:trHeight w:val="259"/>
          <w:jc w:val="center"/>
        </w:trPr>
        <w:tc>
          <w:tcPr>
            <w:tcW w:w="5444" w:type="dxa"/>
            <w:tcBorders>
              <w:top w:val="nil"/>
              <w:left w:val="single" w:sz="8" w:space="0" w:color="FFFFFF"/>
              <w:bottom w:val="single" w:sz="8" w:space="0" w:color="FFFFFF"/>
              <w:right w:val="single" w:sz="8" w:space="0" w:color="FFFFFF"/>
            </w:tcBorders>
            <w:shd w:val="clear" w:color="000000" w:fill="FDE4D0"/>
            <w:vAlign w:val="center"/>
            <w:hideMark/>
          </w:tcPr>
          <w:p w14:paraId="1FE24188" w14:textId="77777777" w:rsidR="00A75659" w:rsidRPr="005A4CD7" w:rsidRDefault="00A75659" w:rsidP="00A75659">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 xml:space="preserve">Брой  легла </w:t>
            </w:r>
          </w:p>
        </w:tc>
        <w:tc>
          <w:tcPr>
            <w:tcW w:w="1536" w:type="dxa"/>
            <w:tcBorders>
              <w:top w:val="nil"/>
              <w:left w:val="nil"/>
              <w:bottom w:val="single" w:sz="8" w:space="0" w:color="FFFFFF"/>
              <w:right w:val="single" w:sz="8" w:space="0" w:color="FFFFFF"/>
            </w:tcBorders>
            <w:shd w:val="clear" w:color="000000" w:fill="FDE4D0"/>
            <w:vAlign w:val="center"/>
            <w:hideMark/>
          </w:tcPr>
          <w:p w14:paraId="45F8B720" w14:textId="77777777" w:rsidR="00A75659" w:rsidRPr="00636465" w:rsidRDefault="00A75659" w:rsidP="00A75659">
            <w:pPr>
              <w:spacing w:after="0" w:line="240" w:lineRule="auto"/>
              <w:jc w:val="right"/>
              <w:rPr>
                <w:rFonts w:ascii="Times New Roman" w:eastAsia="Times New Roman" w:hAnsi="Times New Roman" w:cs="Times New Roman"/>
                <w:sz w:val="18"/>
                <w:szCs w:val="18"/>
                <w:lang w:eastAsia="bg-BG"/>
              </w:rPr>
            </w:pPr>
            <w:r w:rsidRPr="00636465">
              <w:rPr>
                <w:rFonts w:ascii="Times New Roman" w:eastAsia="Times New Roman" w:hAnsi="Times New Roman" w:cs="Times New Roman"/>
                <w:sz w:val="18"/>
                <w:szCs w:val="18"/>
                <w:lang w:eastAsia="bg-BG"/>
              </w:rPr>
              <w:t>176</w:t>
            </w:r>
          </w:p>
        </w:tc>
        <w:tc>
          <w:tcPr>
            <w:tcW w:w="1536" w:type="dxa"/>
            <w:tcBorders>
              <w:top w:val="nil"/>
              <w:left w:val="nil"/>
              <w:bottom w:val="single" w:sz="8" w:space="0" w:color="FFFFFF"/>
              <w:right w:val="single" w:sz="8" w:space="0" w:color="FFFFFF"/>
            </w:tcBorders>
            <w:shd w:val="clear" w:color="000000" w:fill="FDE4D0"/>
            <w:vAlign w:val="center"/>
            <w:hideMark/>
          </w:tcPr>
          <w:p w14:paraId="719633B8" w14:textId="77777777" w:rsidR="00A75659" w:rsidRPr="00636465" w:rsidRDefault="00A75659" w:rsidP="00A75659">
            <w:pPr>
              <w:spacing w:after="0" w:line="240" w:lineRule="auto"/>
              <w:jc w:val="right"/>
              <w:rPr>
                <w:rFonts w:ascii="Times New Roman" w:eastAsia="Times New Roman" w:hAnsi="Times New Roman" w:cs="Times New Roman"/>
                <w:sz w:val="18"/>
                <w:szCs w:val="18"/>
                <w:lang w:eastAsia="bg-BG"/>
              </w:rPr>
            </w:pPr>
            <w:r w:rsidRPr="00636465">
              <w:rPr>
                <w:rFonts w:ascii="Times New Roman" w:eastAsia="Times New Roman" w:hAnsi="Times New Roman" w:cs="Times New Roman"/>
                <w:sz w:val="18"/>
                <w:szCs w:val="18"/>
                <w:lang w:eastAsia="bg-BG"/>
              </w:rPr>
              <w:t>176</w:t>
            </w:r>
          </w:p>
        </w:tc>
      </w:tr>
      <w:tr w:rsidR="00A75659" w:rsidRPr="005A4CD7" w14:paraId="3F06E268" w14:textId="77777777" w:rsidTr="00E80B40">
        <w:trPr>
          <w:trHeight w:val="259"/>
          <w:jc w:val="center"/>
        </w:trPr>
        <w:tc>
          <w:tcPr>
            <w:tcW w:w="5444" w:type="dxa"/>
            <w:tcBorders>
              <w:top w:val="nil"/>
              <w:left w:val="single" w:sz="8" w:space="0" w:color="FFFFFF"/>
              <w:bottom w:val="single" w:sz="8" w:space="0" w:color="FFFFFF"/>
              <w:right w:val="single" w:sz="8" w:space="0" w:color="FFFFFF"/>
            </w:tcBorders>
            <w:shd w:val="clear" w:color="000000" w:fill="FBCAA2"/>
            <w:vAlign w:val="center"/>
            <w:hideMark/>
          </w:tcPr>
          <w:p w14:paraId="1B253349" w14:textId="77777777" w:rsidR="00A75659" w:rsidRPr="005A4CD7" w:rsidRDefault="00A75659" w:rsidP="00A75659">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Численост на персонала – общо</w:t>
            </w:r>
          </w:p>
        </w:tc>
        <w:tc>
          <w:tcPr>
            <w:tcW w:w="1536" w:type="dxa"/>
            <w:tcBorders>
              <w:top w:val="nil"/>
              <w:left w:val="nil"/>
              <w:bottom w:val="single" w:sz="8" w:space="0" w:color="FFFFFF"/>
              <w:right w:val="single" w:sz="8" w:space="0" w:color="FFFFFF"/>
            </w:tcBorders>
            <w:shd w:val="clear" w:color="000000" w:fill="FBCAA2"/>
            <w:vAlign w:val="center"/>
            <w:hideMark/>
          </w:tcPr>
          <w:p w14:paraId="7D2D39E7" w14:textId="77777777" w:rsidR="00A75659" w:rsidRPr="00636465" w:rsidRDefault="00A75659" w:rsidP="00A75659">
            <w:pPr>
              <w:spacing w:after="0" w:line="240" w:lineRule="auto"/>
              <w:jc w:val="right"/>
              <w:rPr>
                <w:rFonts w:ascii="Times New Roman" w:eastAsia="Times New Roman" w:hAnsi="Times New Roman" w:cs="Times New Roman"/>
                <w:sz w:val="18"/>
                <w:szCs w:val="18"/>
                <w:lang w:eastAsia="bg-BG"/>
              </w:rPr>
            </w:pPr>
            <w:r w:rsidRPr="00636465">
              <w:rPr>
                <w:rFonts w:ascii="Times New Roman" w:eastAsia="Times New Roman" w:hAnsi="Times New Roman" w:cs="Times New Roman"/>
                <w:sz w:val="18"/>
                <w:szCs w:val="18"/>
                <w:lang w:eastAsia="bg-BG"/>
              </w:rPr>
              <w:t>89</w:t>
            </w:r>
          </w:p>
        </w:tc>
        <w:tc>
          <w:tcPr>
            <w:tcW w:w="1536" w:type="dxa"/>
            <w:tcBorders>
              <w:top w:val="nil"/>
              <w:left w:val="nil"/>
              <w:bottom w:val="single" w:sz="8" w:space="0" w:color="FFFFFF"/>
              <w:right w:val="single" w:sz="8" w:space="0" w:color="FFFFFF"/>
            </w:tcBorders>
            <w:shd w:val="clear" w:color="000000" w:fill="FBCAA2"/>
            <w:vAlign w:val="center"/>
            <w:hideMark/>
          </w:tcPr>
          <w:p w14:paraId="4B135093" w14:textId="77777777" w:rsidR="00A75659" w:rsidRPr="00636465" w:rsidRDefault="00A75659" w:rsidP="00A75659">
            <w:pPr>
              <w:spacing w:after="0" w:line="240" w:lineRule="auto"/>
              <w:jc w:val="right"/>
              <w:rPr>
                <w:rFonts w:ascii="Times New Roman" w:eastAsia="Times New Roman" w:hAnsi="Times New Roman" w:cs="Times New Roman"/>
                <w:sz w:val="18"/>
                <w:szCs w:val="18"/>
                <w:lang w:eastAsia="bg-BG"/>
              </w:rPr>
            </w:pPr>
            <w:r w:rsidRPr="00636465">
              <w:rPr>
                <w:rFonts w:ascii="Times New Roman" w:eastAsia="Times New Roman" w:hAnsi="Times New Roman" w:cs="Times New Roman"/>
                <w:sz w:val="18"/>
                <w:szCs w:val="18"/>
                <w:lang w:eastAsia="bg-BG"/>
              </w:rPr>
              <w:t>89</w:t>
            </w:r>
          </w:p>
        </w:tc>
      </w:tr>
      <w:tr w:rsidR="00A75659" w:rsidRPr="005A4CD7" w14:paraId="5668A141" w14:textId="77777777" w:rsidTr="00E80B40">
        <w:trPr>
          <w:trHeight w:val="259"/>
          <w:jc w:val="center"/>
        </w:trPr>
        <w:tc>
          <w:tcPr>
            <w:tcW w:w="5444" w:type="dxa"/>
            <w:tcBorders>
              <w:top w:val="nil"/>
              <w:left w:val="single" w:sz="8" w:space="0" w:color="FFFFFF"/>
              <w:bottom w:val="single" w:sz="8" w:space="0" w:color="FFFFFF"/>
              <w:right w:val="single" w:sz="8" w:space="0" w:color="FFFFFF"/>
            </w:tcBorders>
            <w:shd w:val="clear" w:color="000000" w:fill="FDE4D0"/>
            <w:vAlign w:val="center"/>
            <w:hideMark/>
          </w:tcPr>
          <w:p w14:paraId="062882CE" w14:textId="77777777" w:rsidR="00A75659" w:rsidRPr="005A4CD7" w:rsidRDefault="00A75659" w:rsidP="00A75659">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Инвестиционни/капиталови/разходи - хил.лв.</w:t>
            </w:r>
          </w:p>
        </w:tc>
        <w:tc>
          <w:tcPr>
            <w:tcW w:w="1536" w:type="dxa"/>
            <w:tcBorders>
              <w:top w:val="nil"/>
              <w:left w:val="nil"/>
              <w:bottom w:val="single" w:sz="8" w:space="0" w:color="FFFFFF"/>
              <w:right w:val="single" w:sz="8" w:space="0" w:color="FFFFFF"/>
            </w:tcBorders>
            <w:shd w:val="clear" w:color="000000" w:fill="FDE4D0"/>
            <w:vAlign w:val="center"/>
            <w:hideMark/>
          </w:tcPr>
          <w:p w14:paraId="5B2ED633" w14:textId="2908EE2E" w:rsidR="00A75659" w:rsidRPr="005A4CD7" w:rsidRDefault="003B5EAC" w:rsidP="00A75659">
            <w:pPr>
              <w:spacing w:after="0" w:line="240" w:lineRule="auto"/>
              <w:jc w:val="right"/>
              <w:rPr>
                <w:rFonts w:ascii="Times New Roman" w:eastAsia="Times New Roman" w:hAnsi="Times New Roman" w:cs="Times New Roman"/>
                <w:color w:val="FF0000"/>
                <w:sz w:val="18"/>
                <w:szCs w:val="18"/>
                <w:lang w:eastAsia="bg-BG"/>
              </w:rPr>
            </w:pPr>
            <w:r w:rsidRPr="003B5EAC">
              <w:rPr>
                <w:rFonts w:ascii="Times New Roman" w:eastAsia="Times New Roman" w:hAnsi="Times New Roman" w:cs="Times New Roman"/>
                <w:sz w:val="18"/>
                <w:szCs w:val="18"/>
                <w:lang w:eastAsia="bg-BG"/>
              </w:rPr>
              <w:t>84</w:t>
            </w:r>
          </w:p>
        </w:tc>
        <w:tc>
          <w:tcPr>
            <w:tcW w:w="1536" w:type="dxa"/>
            <w:tcBorders>
              <w:top w:val="nil"/>
              <w:left w:val="nil"/>
              <w:bottom w:val="single" w:sz="8" w:space="0" w:color="FFFFFF"/>
              <w:right w:val="single" w:sz="8" w:space="0" w:color="FFFFFF"/>
            </w:tcBorders>
            <w:shd w:val="clear" w:color="000000" w:fill="FDE4D0"/>
            <w:vAlign w:val="center"/>
            <w:hideMark/>
          </w:tcPr>
          <w:p w14:paraId="2EDC59AA" w14:textId="3AE069C1" w:rsidR="00A75659" w:rsidRPr="005A4CD7" w:rsidRDefault="00A4610E" w:rsidP="00A75659">
            <w:pPr>
              <w:spacing w:after="0" w:line="240" w:lineRule="auto"/>
              <w:jc w:val="right"/>
              <w:rPr>
                <w:rFonts w:ascii="Times New Roman" w:eastAsia="Times New Roman" w:hAnsi="Times New Roman" w:cs="Times New Roman"/>
                <w:color w:val="FF0000"/>
                <w:sz w:val="18"/>
                <w:szCs w:val="18"/>
                <w:lang w:eastAsia="bg-BG"/>
              </w:rPr>
            </w:pPr>
            <w:r w:rsidRPr="00A4610E">
              <w:rPr>
                <w:rFonts w:ascii="Times New Roman" w:eastAsia="Times New Roman" w:hAnsi="Times New Roman" w:cs="Times New Roman"/>
                <w:sz w:val="18"/>
                <w:szCs w:val="18"/>
                <w:lang w:eastAsia="bg-BG"/>
              </w:rPr>
              <w:t>139</w:t>
            </w:r>
          </w:p>
        </w:tc>
      </w:tr>
      <w:tr w:rsidR="00A75659" w:rsidRPr="005A4CD7" w14:paraId="75A91072" w14:textId="77777777" w:rsidTr="00E80B40">
        <w:trPr>
          <w:trHeight w:val="259"/>
          <w:jc w:val="center"/>
        </w:trPr>
        <w:tc>
          <w:tcPr>
            <w:tcW w:w="5444" w:type="dxa"/>
            <w:tcBorders>
              <w:top w:val="nil"/>
              <w:left w:val="single" w:sz="8" w:space="0" w:color="FFFFFF"/>
              <w:bottom w:val="single" w:sz="8" w:space="0" w:color="FFFFFF"/>
              <w:right w:val="single" w:sz="8" w:space="0" w:color="FFFFFF"/>
            </w:tcBorders>
            <w:shd w:val="clear" w:color="000000" w:fill="FBCAA2"/>
            <w:vAlign w:val="center"/>
            <w:hideMark/>
          </w:tcPr>
          <w:p w14:paraId="06FF13EE" w14:textId="77777777" w:rsidR="00A75659" w:rsidRPr="005A4CD7" w:rsidRDefault="00A75659" w:rsidP="00A75659">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Счетоводна печалба /загуба/ – хил.лв.</w:t>
            </w:r>
          </w:p>
        </w:tc>
        <w:tc>
          <w:tcPr>
            <w:tcW w:w="1536" w:type="dxa"/>
            <w:tcBorders>
              <w:top w:val="nil"/>
              <w:left w:val="nil"/>
              <w:bottom w:val="single" w:sz="8" w:space="0" w:color="FFFFFF"/>
              <w:right w:val="single" w:sz="8" w:space="0" w:color="FFFFFF"/>
            </w:tcBorders>
            <w:shd w:val="clear" w:color="000000" w:fill="FBCAA2"/>
            <w:vAlign w:val="center"/>
            <w:hideMark/>
          </w:tcPr>
          <w:p w14:paraId="02AC58B9" w14:textId="3D59FC8B" w:rsidR="00A75659" w:rsidRPr="00636465" w:rsidRDefault="00A75659" w:rsidP="00A75659">
            <w:pPr>
              <w:spacing w:after="0" w:line="240" w:lineRule="auto"/>
              <w:jc w:val="right"/>
              <w:rPr>
                <w:rFonts w:ascii="Times New Roman" w:eastAsia="Times New Roman" w:hAnsi="Times New Roman" w:cs="Times New Roman"/>
                <w:sz w:val="18"/>
                <w:szCs w:val="18"/>
                <w:lang w:eastAsia="bg-BG"/>
              </w:rPr>
            </w:pPr>
            <w:r w:rsidRPr="00636465">
              <w:rPr>
                <w:rFonts w:ascii="Times New Roman" w:eastAsia="Times New Roman" w:hAnsi="Times New Roman" w:cs="Times New Roman"/>
                <w:sz w:val="18"/>
                <w:szCs w:val="18"/>
                <w:lang w:eastAsia="bg-BG"/>
              </w:rPr>
              <w:t>-</w:t>
            </w:r>
            <w:r w:rsidR="00636465" w:rsidRPr="00636465">
              <w:rPr>
                <w:rFonts w:ascii="Times New Roman" w:eastAsia="Times New Roman" w:hAnsi="Times New Roman" w:cs="Times New Roman"/>
                <w:sz w:val="18"/>
                <w:szCs w:val="18"/>
                <w:lang w:eastAsia="bg-BG"/>
              </w:rPr>
              <w:t>120</w:t>
            </w:r>
          </w:p>
        </w:tc>
        <w:tc>
          <w:tcPr>
            <w:tcW w:w="1536" w:type="dxa"/>
            <w:tcBorders>
              <w:top w:val="nil"/>
              <w:left w:val="nil"/>
              <w:bottom w:val="single" w:sz="8" w:space="0" w:color="FFFFFF"/>
              <w:right w:val="single" w:sz="8" w:space="0" w:color="FFFFFF"/>
            </w:tcBorders>
            <w:shd w:val="clear" w:color="000000" w:fill="FBCAA2"/>
            <w:vAlign w:val="center"/>
            <w:hideMark/>
          </w:tcPr>
          <w:p w14:paraId="28D45AB8" w14:textId="7E7D5F03" w:rsidR="00A75659" w:rsidRPr="00636465" w:rsidRDefault="00636465" w:rsidP="00A75659">
            <w:pPr>
              <w:spacing w:after="0" w:line="240" w:lineRule="auto"/>
              <w:jc w:val="right"/>
              <w:rPr>
                <w:rFonts w:ascii="Times New Roman" w:eastAsia="Times New Roman" w:hAnsi="Times New Roman" w:cs="Times New Roman"/>
                <w:sz w:val="18"/>
                <w:szCs w:val="18"/>
                <w:lang w:eastAsia="bg-BG"/>
              </w:rPr>
            </w:pPr>
            <w:r w:rsidRPr="00636465">
              <w:rPr>
                <w:rFonts w:ascii="Times New Roman" w:eastAsia="Times New Roman" w:hAnsi="Times New Roman" w:cs="Times New Roman"/>
                <w:sz w:val="18"/>
                <w:szCs w:val="18"/>
                <w:lang w:eastAsia="bg-BG"/>
              </w:rPr>
              <w:t>43</w:t>
            </w:r>
          </w:p>
        </w:tc>
      </w:tr>
      <w:tr w:rsidR="00A75659" w:rsidRPr="005A4CD7" w14:paraId="478C6478" w14:textId="77777777" w:rsidTr="00E80B40">
        <w:trPr>
          <w:trHeight w:val="259"/>
          <w:jc w:val="center"/>
        </w:trPr>
        <w:tc>
          <w:tcPr>
            <w:tcW w:w="5444" w:type="dxa"/>
            <w:tcBorders>
              <w:top w:val="nil"/>
              <w:left w:val="single" w:sz="8" w:space="0" w:color="FFFFFF"/>
              <w:bottom w:val="single" w:sz="8" w:space="0" w:color="FFFFFF"/>
              <w:right w:val="single" w:sz="8" w:space="0" w:color="FFFFFF"/>
            </w:tcBorders>
            <w:shd w:val="clear" w:color="000000" w:fill="FDE4D0"/>
            <w:vAlign w:val="center"/>
            <w:hideMark/>
          </w:tcPr>
          <w:p w14:paraId="71E8E0D1" w14:textId="3F935545" w:rsidR="00A75659" w:rsidRPr="005A4CD7" w:rsidRDefault="00A75659" w:rsidP="00A75659">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 xml:space="preserve">Рентабилност </w:t>
            </w:r>
          </w:p>
        </w:tc>
        <w:tc>
          <w:tcPr>
            <w:tcW w:w="1536" w:type="dxa"/>
            <w:tcBorders>
              <w:top w:val="nil"/>
              <w:left w:val="nil"/>
              <w:bottom w:val="single" w:sz="8" w:space="0" w:color="FFFFFF"/>
              <w:right w:val="single" w:sz="8" w:space="0" w:color="FFFFFF"/>
            </w:tcBorders>
            <w:shd w:val="clear" w:color="000000" w:fill="FDE4D0"/>
            <w:vAlign w:val="center"/>
            <w:hideMark/>
          </w:tcPr>
          <w:p w14:paraId="0E05B86D" w14:textId="46AF351D" w:rsidR="00C86A32" w:rsidRPr="00C10E02" w:rsidRDefault="00A75659" w:rsidP="00C86A32">
            <w:pPr>
              <w:spacing w:after="0" w:line="240" w:lineRule="auto"/>
              <w:jc w:val="right"/>
              <w:rPr>
                <w:rFonts w:ascii="Times New Roman" w:eastAsia="Times New Roman" w:hAnsi="Times New Roman" w:cs="Times New Roman"/>
                <w:sz w:val="18"/>
                <w:szCs w:val="18"/>
                <w:lang w:eastAsia="bg-BG"/>
              </w:rPr>
            </w:pPr>
            <w:r w:rsidRPr="00C10E02">
              <w:rPr>
                <w:rFonts w:ascii="Times New Roman" w:eastAsia="Times New Roman" w:hAnsi="Times New Roman" w:cs="Times New Roman"/>
                <w:sz w:val="18"/>
                <w:szCs w:val="18"/>
                <w:lang w:eastAsia="bg-BG"/>
              </w:rPr>
              <w:t>-</w:t>
            </w:r>
            <w:r w:rsidR="00C10E02" w:rsidRPr="00C10E02">
              <w:rPr>
                <w:rFonts w:ascii="Times New Roman" w:eastAsia="Times New Roman" w:hAnsi="Times New Roman" w:cs="Times New Roman"/>
                <w:sz w:val="18"/>
                <w:szCs w:val="18"/>
                <w:lang w:eastAsia="bg-BG"/>
              </w:rPr>
              <w:t>3</w:t>
            </w:r>
            <w:r w:rsidR="00C86A32">
              <w:rPr>
                <w:rFonts w:ascii="Times New Roman" w:eastAsia="Times New Roman" w:hAnsi="Times New Roman" w:cs="Times New Roman"/>
                <w:sz w:val="18"/>
                <w:szCs w:val="18"/>
                <w:lang w:eastAsia="bg-BG"/>
              </w:rPr>
              <w:t>,</w:t>
            </w:r>
            <w:r w:rsidR="00C10E02" w:rsidRPr="00C10E02">
              <w:rPr>
                <w:rFonts w:ascii="Times New Roman" w:eastAsia="Times New Roman" w:hAnsi="Times New Roman" w:cs="Times New Roman"/>
                <w:sz w:val="18"/>
                <w:szCs w:val="18"/>
                <w:lang w:eastAsia="bg-BG"/>
              </w:rPr>
              <w:t>8</w:t>
            </w:r>
            <w:r w:rsidR="00C86A32">
              <w:rPr>
                <w:rFonts w:ascii="Times New Roman" w:eastAsia="Times New Roman" w:hAnsi="Times New Roman" w:cs="Times New Roman"/>
                <w:sz w:val="18"/>
                <w:szCs w:val="18"/>
                <w:lang w:eastAsia="bg-BG"/>
              </w:rPr>
              <w:t>1%</w:t>
            </w:r>
          </w:p>
        </w:tc>
        <w:tc>
          <w:tcPr>
            <w:tcW w:w="1536" w:type="dxa"/>
            <w:tcBorders>
              <w:top w:val="nil"/>
              <w:left w:val="nil"/>
              <w:bottom w:val="single" w:sz="8" w:space="0" w:color="FFFFFF"/>
              <w:right w:val="single" w:sz="8" w:space="0" w:color="FFFFFF"/>
            </w:tcBorders>
            <w:shd w:val="clear" w:color="000000" w:fill="FDE4D0"/>
            <w:vAlign w:val="center"/>
            <w:hideMark/>
          </w:tcPr>
          <w:p w14:paraId="0C80E2E0" w14:textId="4C10E7A4" w:rsidR="00C10E02" w:rsidRPr="00C10E02" w:rsidRDefault="00C86A32" w:rsidP="00C10E02">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1,46%</w:t>
            </w:r>
          </w:p>
        </w:tc>
      </w:tr>
      <w:tr w:rsidR="00636465" w:rsidRPr="00636465" w14:paraId="2D768D6D" w14:textId="77777777" w:rsidTr="00E80B40">
        <w:trPr>
          <w:trHeight w:val="259"/>
          <w:jc w:val="center"/>
        </w:trPr>
        <w:tc>
          <w:tcPr>
            <w:tcW w:w="5444" w:type="dxa"/>
            <w:tcBorders>
              <w:top w:val="nil"/>
              <w:left w:val="single" w:sz="8" w:space="0" w:color="FFFFFF"/>
              <w:bottom w:val="single" w:sz="8" w:space="0" w:color="FFFFFF"/>
              <w:right w:val="single" w:sz="8" w:space="0" w:color="FFFFFF"/>
            </w:tcBorders>
            <w:shd w:val="clear" w:color="000000" w:fill="FBCAA2"/>
            <w:vAlign w:val="center"/>
            <w:hideMark/>
          </w:tcPr>
          <w:p w14:paraId="6FF7392A" w14:textId="77777777" w:rsidR="00A75659" w:rsidRPr="005A4CD7" w:rsidRDefault="00A75659" w:rsidP="00A75659">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Ефективност на разходите</w:t>
            </w:r>
          </w:p>
        </w:tc>
        <w:tc>
          <w:tcPr>
            <w:tcW w:w="1536" w:type="dxa"/>
            <w:tcBorders>
              <w:top w:val="nil"/>
              <w:left w:val="nil"/>
              <w:bottom w:val="single" w:sz="8" w:space="0" w:color="FFFFFF"/>
              <w:right w:val="single" w:sz="8" w:space="0" w:color="FFFFFF"/>
            </w:tcBorders>
            <w:shd w:val="clear" w:color="000000" w:fill="FBCAA2"/>
            <w:vAlign w:val="center"/>
            <w:hideMark/>
          </w:tcPr>
          <w:p w14:paraId="7A58FDD6" w14:textId="433D9495" w:rsidR="00A75659" w:rsidRPr="00C10E02" w:rsidRDefault="00A75659" w:rsidP="00A75659">
            <w:pPr>
              <w:spacing w:after="0" w:line="240" w:lineRule="auto"/>
              <w:jc w:val="right"/>
              <w:rPr>
                <w:rFonts w:ascii="Times New Roman" w:eastAsia="Times New Roman" w:hAnsi="Times New Roman" w:cs="Times New Roman"/>
                <w:sz w:val="18"/>
                <w:szCs w:val="18"/>
                <w:lang w:eastAsia="bg-BG"/>
              </w:rPr>
            </w:pPr>
            <w:r w:rsidRPr="00C10E02">
              <w:rPr>
                <w:rFonts w:ascii="Times New Roman" w:eastAsia="Times New Roman" w:hAnsi="Times New Roman" w:cs="Times New Roman"/>
                <w:sz w:val="18"/>
                <w:szCs w:val="18"/>
                <w:lang w:eastAsia="bg-BG"/>
              </w:rPr>
              <w:t>0,9</w:t>
            </w:r>
            <w:r w:rsidR="00636465" w:rsidRPr="00C10E02">
              <w:rPr>
                <w:rFonts w:ascii="Times New Roman" w:eastAsia="Times New Roman" w:hAnsi="Times New Roman" w:cs="Times New Roman"/>
                <w:sz w:val="18"/>
                <w:szCs w:val="18"/>
                <w:lang w:eastAsia="bg-BG"/>
              </w:rPr>
              <w:t>6</w:t>
            </w:r>
            <w:r w:rsidR="00C10E02" w:rsidRPr="00C10E02">
              <w:rPr>
                <w:rFonts w:ascii="Times New Roman" w:eastAsia="Times New Roman" w:hAnsi="Times New Roman" w:cs="Times New Roman"/>
                <w:sz w:val="18"/>
                <w:szCs w:val="18"/>
                <w:lang w:eastAsia="bg-BG"/>
              </w:rPr>
              <w:t>3</w:t>
            </w:r>
          </w:p>
        </w:tc>
        <w:tc>
          <w:tcPr>
            <w:tcW w:w="1536" w:type="dxa"/>
            <w:tcBorders>
              <w:top w:val="nil"/>
              <w:left w:val="nil"/>
              <w:bottom w:val="single" w:sz="8" w:space="0" w:color="FFFFFF"/>
              <w:right w:val="single" w:sz="8" w:space="0" w:color="FFFFFF"/>
            </w:tcBorders>
            <w:shd w:val="clear" w:color="000000" w:fill="FBCAA2"/>
            <w:vAlign w:val="center"/>
            <w:hideMark/>
          </w:tcPr>
          <w:p w14:paraId="430EE511" w14:textId="2C79F56B" w:rsidR="00A75659" w:rsidRPr="00C10E02" w:rsidRDefault="00A75659" w:rsidP="00A75659">
            <w:pPr>
              <w:spacing w:after="0" w:line="240" w:lineRule="auto"/>
              <w:jc w:val="right"/>
              <w:rPr>
                <w:rFonts w:ascii="Times New Roman" w:eastAsia="Times New Roman" w:hAnsi="Times New Roman" w:cs="Times New Roman"/>
                <w:sz w:val="18"/>
                <w:szCs w:val="18"/>
                <w:lang w:eastAsia="bg-BG"/>
              </w:rPr>
            </w:pPr>
            <w:r w:rsidRPr="00C10E02">
              <w:rPr>
                <w:rFonts w:ascii="Times New Roman" w:eastAsia="Times New Roman" w:hAnsi="Times New Roman" w:cs="Times New Roman"/>
                <w:sz w:val="18"/>
                <w:szCs w:val="18"/>
                <w:lang w:eastAsia="bg-BG"/>
              </w:rPr>
              <w:t>1,01</w:t>
            </w:r>
            <w:r w:rsidR="00C10E02" w:rsidRPr="00C10E02">
              <w:rPr>
                <w:rFonts w:ascii="Times New Roman" w:eastAsia="Times New Roman" w:hAnsi="Times New Roman" w:cs="Times New Roman"/>
                <w:sz w:val="18"/>
                <w:szCs w:val="18"/>
                <w:lang w:eastAsia="bg-BG"/>
              </w:rPr>
              <w:t>5</w:t>
            </w:r>
          </w:p>
        </w:tc>
      </w:tr>
      <w:tr w:rsidR="003B5EAC" w:rsidRPr="003B5EAC" w14:paraId="66FC85BB" w14:textId="77777777" w:rsidTr="00E80B40">
        <w:trPr>
          <w:trHeight w:val="259"/>
          <w:jc w:val="center"/>
        </w:trPr>
        <w:tc>
          <w:tcPr>
            <w:tcW w:w="5444" w:type="dxa"/>
            <w:tcBorders>
              <w:top w:val="nil"/>
              <w:left w:val="single" w:sz="8" w:space="0" w:color="FFFFFF"/>
              <w:bottom w:val="single" w:sz="8" w:space="0" w:color="FFFFFF"/>
              <w:right w:val="single" w:sz="8" w:space="0" w:color="FFFFFF"/>
            </w:tcBorders>
            <w:shd w:val="clear" w:color="000000" w:fill="FDE4D0"/>
            <w:vAlign w:val="center"/>
            <w:hideMark/>
          </w:tcPr>
          <w:p w14:paraId="381C56AE" w14:textId="77777777" w:rsidR="00A75659" w:rsidRPr="005A4CD7" w:rsidRDefault="00A75659" w:rsidP="00A75659">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Реализирани леглодни</w:t>
            </w:r>
          </w:p>
        </w:tc>
        <w:tc>
          <w:tcPr>
            <w:tcW w:w="1536" w:type="dxa"/>
            <w:tcBorders>
              <w:top w:val="nil"/>
              <w:left w:val="nil"/>
              <w:bottom w:val="single" w:sz="8" w:space="0" w:color="FFFFFF"/>
              <w:right w:val="single" w:sz="8" w:space="0" w:color="FFFFFF"/>
            </w:tcBorders>
            <w:shd w:val="clear" w:color="000000" w:fill="FDE4D0"/>
            <w:vAlign w:val="center"/>
            <w:hideMark/>
          </w:tcPr>
          <w:p w14:paraId="32362103" w14:textId="155B2EEE" w:rsidR="00A75659" w:rsidRPr="005A4CD7" w:rsidRDefault="003B5EAC" w:rsidP="00A75659">
            <w:pPr>
              <w:spacing w:after="0" w:line="240" w:lineRule="auto"/>
              <w:jc w:val="right"/>
              <w:rPr>
                <w:rFonts w:ascii="Times New Roman" w:eastAsia="Times New Roman" w:hAnsi="Times New Roman" w:cs="Times New Roman"/>
                <w:color w:val="FF0000"/>
                <w:sz w:val="18"/>
                <w:szCs w:val="18"/>
                <w:lang w:eastAsia="bg-BG"/>
              </w:rPr>
            </w:pPr>
            <w:r w:rsidRPr="003B5EAC">
              <w:rPr>
                <w:rFonts w:ascii="Times New Roman" w:eastAsia="Times New Roman" w:hAnsi="Times New Roman" w:cs="Times New Roman"/>
                <w:sz w:val="18"/>
                <w:szCs w:val="18"/>
                <w:lang w:eastAsia="bg-BG"/>
              </w:rPr>
              <w:t>29</w:t>
            </w:r>
            <w:r w:rsidR="00A75659" w:rsidRPr="003B5EAC">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598</w:t>
            </w:r>
          </w:p>
        </w:tc>
        <w:tc>
          <w:tcPr>
            <w:tcW w:w="1536" w:type="dxa"/>
            <w:tcBorders>
              <w:top w:val="nil"/>
              <w:left w:val="nil"/>
              <w:bottom w:val="single" w:sz="8" w:space="0" w:color="FFFFFF"/>
              <w:right w:val="single" w:sz="8" w:space="0" w:color="FFFFFF"/>
            </w:tcBorders>
            <w:shd w:val="clear" w:color="000000" w:fill="FDE4D0"/>
            <w:vAlign w:val="center"/>
            <w:hideMark/>
          </w:tcPr>
          <w:p w14:paraId="619D34B9" w14:textId="00A0CCF0" w:rsidR="00A75659" w:rsidRPr="003B5EAC" w:rsidRDefault="003B5EAC" w:rsidP="00A75659">
            <w:pPr>
              <w:spacing w:after="0" w:line="240" w:lineRule="auto"/>
              <w:jc w:val="right"/>
              <w:rPr>
                <w:rFonts w:ascii="Times New Roman" w:eastAsia="Times New Roman" w:hAnsi="Times New Roman" w:cs="Times New Roman"/>
                <w:sz w:val="18"/>
                <w:szCs w:val="18"/>
                <w:lang w:eastAsia="bg-BG"/>
              </w:rPr>
            </w:pPr>
            <w:r w:rsidRPr="003B5EAC">
              <w:rPr>
                <w:rFonts w:ascii="Times New Roman" w:eastAsia="Times New Roman" w:hAnsi="Times New Roman" w:cs="Times New Roman"/>
                <w:sz w:val="18"/>
                <w:szCs w:val="18"/>
                <w:lang w:eastAsia="bg-BG"/>
              </w:rPr>
              <w:t>29 193</w:t>
            </w:r>
          </w:p>
        </w:tc>
      </w:tr>
    </w:tbl>
    <w:p w14:paraId="13F64120" w14:textId="77777777" w:rsidR="0038285C" w:rsidRDefault="0038285C" w:rsidP="0038285C">
      <w:pPr>
        <w:spacing w:after="0" w:line="240" w:lineRule="auto"/>
        <w:jc w:val="both"/>
        <w:outlineLvl w:val="0"/>
        <w:rPr>
          <w:rFonts w:ascii="Times New Roman" w:eastAsia="Times New Roman" w:hAnsi="Times New Roman" w:cs="Times New Roman"/>
          <w:bCs/>
          <w:sz w:val="24"/>
          <w:szCs w:val="24"/>
        </w:rPr>
      </w:pPr>
    </w:p>
    <w:p w14:paraId="4C83AB06" w14:textId="77777777" w:rsidR="00E80B40" w:rsidRDefault="00E80B40" w:rsidP="00E80B40">
      <w:pPr>
        <w:keepNext/>
        <w:spacing w:after="0" w:line="240" w:lineRule="auto"/>
        <w:ind w:firstLine="709"/>
        <w:jc w:val="both"/>
        <w:outlineLvl w:val="0"/>
        <w:rPr>
          <w:rFonts w:ascii="Times New Roman" w:eastAsia="Times New Roman" w:hAnsi="Times New Roman" w:cs="Times New Roman"/>
          <w:bCs/>
          <w:sz w:val="24"/>
          <w:szCs w:val="24"/>
        </w:rPr>
      </w:pPr>
      <w:r w:rsidRPr="000837AE">
        <w:rPr>
          <w:rFonts w:ascii="Times New Roman" w:eastAsia="Times New Roman" w:hAnsi="Times New Roman" w:cs="Times New Roman"/>
          <w:bCs/>
          <w:sz w:val="24"/>
          <w:szCs w:val="24"/>
        </w:rPr>
        <w:t xml:space="preserve">Резултатите по изпълнение на Бизнес-програмата за развитие на лечебното заведение през </w:t>
      </w:r>
      <w:r>
        <w:rPr>
          <w:rFonts w:ascii="Times New Roman" w:eastAsia="Times New Roman" w:hAnsi="Times New Roman" w:cs="Times New Roman"/>
          <w:bCs/>
          <w:sz w:val="24"/>
          <w:szCs w:val="24"/>
        </w:rPr>
        <w:t>деветмесечие</w:t>
      </w:r>
      <w:r w:rsidRPr="000837AE">
        <w:rPr>
          <w:rFonts w:ascii="Times New Roman" w:eastAsia="Times New Roman" w:hAnsi="Times New Roman" w:cs="Times New Roman"/>
          <w:bCs/>
          <w:sz w:val="24"/>
          <w:szCs w:val="24"/>
        </w:rPr>
        <w:t>то на 202</w:t>
      </w:r>
      <w:r>
        <w:rPr>
          <w:rFonts w:ascii="Times New Roman" w:eastAsia="Times New Roman" w:hAnsi="Times New Roman" w:cs="Times New Roman"/>
          <w:bCs/>
          <w:sz w:val="24"/>
          <w:szCs w:val="24"/>
          <w:lang w:val="en-US"/>
        </w:rPr>
        <w:t>4</w:t>
      </w:r>
      <w:r w:rsidRPr="000837AE">
        <w:rPr>
          <w:rFonts w:ascii="Times New Roman" w:eastAsia="Times New Roman" w:hAnsi="Times New Roman" w:cs="Times New Roman"/>
          <w:bCs/>
          <w:sz w:val="24"/>
          <w:szCs w:val="24"/>
        </w:rPr>
        <w:t xml:space="preserve"> година са следните:</w:t>
      </w:r>
    </w:p>
    <w:p w14:paraId="7244F053" w14:textId="77777777" w:rsidR="00E80B40" w:rsidRPr="000837AE" w:rsidRDefault="00E80B40" w:rsidP="00E80B40">
      <w:pPr>
        <w:keepNext/>
        <w:spacing w:after="0" w:line="240" w:lineRule="auto"/>
        <w:ind w:firstLine="709"/>
        <w:jc w:val="both"/>
        <w:outlineLvl w:val="0"/>
        <w:rPr>
          <w:rFonts w:ascii="Times New Roman" w:eastAsia="Times New Roman" w:hAnsi="Times New Roman" w:cs="Times New Roman"/>
          <w:bCs/>
          <w:sz w:val="24"/>
          <w:szCs w:val="24"/>
        </w:rPr>
      </w:pPr>
    </w:p>
    <w:p w14:paraId="59C4969D" w14:textId="6855C585" w:rsidR="00E80B40" w:rsidRPr="0007692F" w:rsidRDefault="00E80B40" w:rsidP="00E80B40">
      <w:pPr>
        <w:keepNext/>
        <w:spacing w:after="0" w:line="240" w:lineRule="auto"/>
        <w:ind w:firstLine="851"/>
        <w:rPr>
          <w:rFonts w:ascii="Times New Roman" w:eastAsia="Times New Roman" w:hAnsi="Times New Roman" w:cs="Times New Roman"/>
          <w:b/>
          <w:bCs/>
          <w:iCs/>
          <w:sz w:val="20"/>
          <w:szCs w:val="24"/>
        </w:rPr>
      </w:pPr>
      <w:bookmarkStart w:id="13" w:name="_Hlk179980423"/>
      <w:r w:rsidRPr="0007692F">
        <w:rPr>
          <w:rFonts w:ascii="Times New Roman" w:eastAsia="Times New Roman" w:hAnsi="Times New Roman" w:cs="Times New Roman"/>
          <w:b/>
          <w:bCs/>
          <w:iCs/>
          <w:sz w:val="20"/>
          <w:szCs w:val="24"/>
        </w:rPr>
        <w:t xml:space="preserve"> Таблица 1</w:t>
      </w:r>
      <w:r w:rsidR="003B5EAC">
        <w:rPr>
          <w:rFonts w:ascii="Times New Roman" w:eastAsia="Times New Roman" w:hAnsi="Times New Roman" w:cs="Times New Roman"/>
          <w:b/>
          <w:bCs/>
          <w:iCs/>
          <w:sz w:val="20"/>
          <w:szCs w:val="24"/>
        </w:rPr>
        <w:t>1</w:t>
      </w:r>
    </w:p>
    <w:tbl>
      <w:tblPr>
        <w:tblW w:w="8555" w:type="dxa"/>
        <w:jc w:val="center"/>
        <w:tblCellMar>
          <w:left w:w="70" w:type="dxa"/>
          <w:right w:w="70" w:type="dxa"/>
        </w:tblCellMar>
        <w:tblLook w:val="04A0" w:firstRow="1" w:lastRow="0" w:firstColumn="1" w:lastColumn="0" w:noHBand="0" w:noVBand="1"/>
      </w:tblPr>
      <w:tblGrid>
        <w:gridCol w:w="3884"/>
        <w:gridCol w:w="1557"/>
        <w:gridCol w:w="1557"/>
        <w:gridCol w:w="1557"/>
      </w:tblGrid>
      <w:tr w:rsidR="00C95E86" w:rsidRPr="005A4CD7" w14:paraId="39B41AC8" w14:textId="77777777" w:rsidTr="00E80B40">
        <w:trPr>
          <w:trHeight w:val="844"/>
          <w:jc w:val="center"/>
        </w:trPr>
        <w:tc>
          <w:tcPr>
            <w:tcW w:w="3884"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bookmarkEnd w:id="13"/>
          <w:p w14:paraId="65D2E59E" w14:textId="77777777" w:rsidR="00E80B40" w:rsidRPr="005A4CD7" w:rsidRDefault="00E80B40" w:rsidP="001D19BC">
            <w:pPr>
              <w:spacing w:after="0" w:line="240" w:lineRule="auto"/>
              <w:jc w:val="center"/>
              <w:rPr>
                <w:rFonts w:ascii="Times New Roman" w:eastAsia="Times New Roman" w:hAnsi="Times New Roman" w:cs="Times New Roman"/>
                <w:b/>
                <w:bCs/>
                <w:color w:val="FFFFFF" w:themeColor="background1"/>
                <w:sz w:val="18"/>
                <w:szCs w:val="18"/>
                <w:lang w:eastAsia="bg-BG"/>
              </w:rPr>
            </w:pPr>
            <w:r w:rsidRPr="005A4CD7">
              <w:rPr>
                <w:rFonts w:ascii="Times New Roman" w:eastAsia="Times New Roman" w:hAnsi="Times New Roman" w:cs="Times New Roman"/>
                <w:b/>
                <w:bCs/>
                <w:color w:val="FFFFFF" w:themeColor="background1"/>
                <w:sz w:val="18"/>
                <w:szCs w:val="18"/>
                <w:lang w:eastAsia="bg-BG"/>
              </w:rPr>
              <w:t>Показатели</w:t>
            </w:r>
          </w:p>
        </w:tc>
        <w:tc>
          <w:tcPr>
            <w:tcW w:w="1557" w:type="dxa"/>
            <w:tcBorders>
              <w:top w:val="single" w:sz="8" w:space="0" w:color="FFFFFF"/>
              <w:left w:val="nil"/>
              <w:bottom w:val="single" w:sz="8" w:space="0" w:color="FFFFFF"/>
              <w:right w:val="single" w:sz="8" w:space="0" w:color="FFFFFF"/>
            </w:tcBorders>
            <w:shd w:val="clear" w:color="000000" w:fill="F79646"/>
            <w:vAlign w:val="center"/>
            <w:hideMark/>
          </w:tcPr>
          <w:p w14:paraId="66BFBD68" w14:textId="77777777" w:rsidR="00E80B40" w:rsidRPr="005A4CD7" w:rsidRDefault="00E80B40" w:rsidP="001D19BC">
            <w:pPr>
              <w:spacing w:after="0" w:line="240" w:lineRule="auto"/>
              <w:jc w:val="center"/>
              <w:rPr>
                <w:rFonts w:ascii="Times New Roman" w:eastAsia="Times New Roman" w:hAnsi="Times New Roman" w:cs="Times New Roman"/>
                <w:b/>
                <w:bCs/>
                <w:color w:val="FFFFFF" w:themeColor="background1"/>
                <w:sz w:val="18"/>
                <w:szCs w:val="18"/>
                <w:lang w:eastAsia="bg-BG"/>
              </w:rPr>
            </w:pPr>
            <w:r w:rsidRPr="005A4CD7">
              <w:rPr>
                <w:rFonts w:ascii="Times New Roman" w:eastAsia="Times New Roman" w:hAnsi="Times New Roman" w:cs="Times New Roman"/>
                <w:b/>
                <w:bCs/>
                <w:color w:val="FFFFFF" w:themeColor="background1"/>
                <w:sz w:val="18"/>
                <w:szCs w:val="18"/>
                <w:lang w:eastAsia="bg-BG"/>
              </w:rPr>
              <w:t>План за отчетния период</w:t>
            </w:r>
          </w:p>
        </w:tc>
        <w:tc>
          <w:tcPr>
            <w:tcW w:w="1557" w:type="dxa"/>
            <w:tcBorders>
              <w:top w:val="single" w:sz="8" w:space="0" w:color="FFFFFF"/>
              <w:left w:val="nil"/>
              <w:bottom w:val="single" w:sz="8" w:space="0" w:color="FFFFFF"/>
              <w:right w:val="single" w:sz="8" w:space="0" w:color="FFFFFF"/>
            </w:tcBorders>
            <w:shd w:val="clear" w:color="000000" w:fill="F79646"/>
            <w:vAlign w:val="center"/>
            <w:hideMark/>
          </w:tcPr>
          <w:p w14:paraId="64D224E8" w14:textId="77777777" w:rsidR="00E80B40" w:rsidRPr="005A4CD7" w:rsidRDefault="00E80B40" w:rsidP="001D19BC">
            <w:pPr>
              <w:spacing w:after="0" w:line="240" w:lineRule="auto"/>
              <w:jc w:val="center"/>
              <w:rPr>
                <w:rFonts w:ascii="Times New Roman" w:eastAsia="Times New Roman" w:hAnsi="Times New Roman" w:cs="Times New Roman"/>
                <w:b/>
                <w:bCs/>
                <w:color w:val="FFFFFF" w:themeColor="background1"/>
                <w:sz w:val="18"/>
                <w:szCs w:val="18"/>
                <w:lang w:eastAsia="bg-BG"/>
              </w:rPr>
            </w:pPr>
            <w:r w:rsidRPr="005A4CD7">
              <w:rPr>
                <w:rFonts w:ascii="Times New Roman" w:eastAsia="Times New Roman" w:hAnsi="Times New Roman" w:cs="Times New Roman"/>
                <w:b/>
                <w:bCs/>
                <w:color w:val="FFFFFF" w:themeColor="background1"/>
                <w:sz w:val="18"/>
                <w:szCs w:val="18"/>
                <w:lang w:eastAsia="bg-BG"/>
              </w:rPr>
              <w:t>Отчет към 30.09.2024 г.</w:t>
            </w:r>
          </w:p>
        </w:tc>
        <w:tc>
          <w:tcPr>
            <w:tcW w:w="1557" w:type="dxa"/>
            <w:tcBorders>
              <w:top w:val="single" w:sz="8" w:space="0" w:color="FFFFFF"/>
              <w:left w:val="nil"/>
              <w:bottom w:val="single" w:sz="8" w:space="0" w:color="FFFFFF"/>
              <w:right w:val="single" w:sz="8" w:space="0" w:color="FFFFFF"/>
            </w:tcBorders>
            <w:shd w:val="clear" w:color="000000" w:fill="F79646"/>
            <w:vAlign w:val="center"/>
            <w:hideMark/>
          </w:tcPr>
          <w:p w14:paraId="6CDEC839" w14:textId="77777777" w:rsidR="00E80B40" w:rsidRPr="005A4CD7" w:rsidRDefault="00E80B40" w:rsidP="001D19BC">
            <w:pPr>
              <w:spacing w:after="0" w:line="240" w:lineRule="auto"/>
              <w:jc w:val="center"/>
              <w:rPr>
                <w:rFonts w:ascii="Times New Roman" w:eastAsia="Times New Roman" w:hAnsi="Times New Roman" w:cs="Times New Roman"/>
                <w:b/>
                <w:bCs/>
                <w:color w:val="FFFFFF" w:themeColor="background1"/>
                <w:sz w:val="18"/>
                <w:szCs w:val="18"/>
                <w:lang w:eastAsia="bg-BG"/>
              </w:rPr>
            </w:pPr>
            <w:r w:rsidRPr="005A4CD7">
              <w:rPr>
                <w:rFonts w:ascii="Times New Roman" w:eastAsia="Times New Roman" w:hAnsi="Times New Roman" w:cs="Times New Roman"/>
                <w:b/>
                <w:bCs/>
                <w:color w:val="FFFFFF" w:themeColor="background1"/>
                <w:sz w:val="18"/>
                <w:szCs w:val="18"/>
                <w:lang w:eastAsia="bg-BG"/>
              </w:rPr>
              <w:t xml:space="preserve">Изпълнение % </w:t>
            </w:r>
          </w:p>
        </w:tc>
      </w:tr>
      <w:tr w:rsidR="00E80B40" w:rsidRPr="005A4CD7" w14:paraId="57F0F935" w14:textId="77777777" w:rsidTr="00E80B40">
        <w:trPr>
          <w:trHeight w:val="305"/>
          <w:jc w:val="center"/>
        </w:trPr>
        <w:tc>
          <w:tcPr>
            <w:tcW w:w="3884" w:type="dxa"/>
            <w:tcBorders>
              <w:top w:val="nil"/>
              <w:left w:val="single" w:sz="8" w:space="0" w:color="FFFFFF"/>
              <w:bottom w:val="single" w:sz="8" w:space="0" w:color="FFFFFF"/>
              <w:right w:val="single" w:sz="8" w:space="0" w:color="FFFFFF"/>
            </w:tcBorders>
            <w:shd w:val="clear" w:color="000000" w:fill="FBCAA2"/>
            <w:vAlign w:val="center"/>
            <w:hideMark/>
          </w:tcPr>
          <w:p w14:paraId="4D745009" w14:textId="77777777" w:rsidR="00E80B40" w:rsidRPr="005A4CD7" w:rsidRDefault="00E80B40" w:rsidP="001D19BC">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Приходи от дейността</w:t>
            </w:r>
          </w:p>
        </w:tc>
        <w:tc>
          <w:tcPr>
            <w:tcW w:w="1557" w:type="dxa"/>
            <w:tcBorders>
              <w:top w:val="nil"/>
              <w:left w:val="nil"/>
              <w:bottom w:val="single" w:sz="8" w:space="0" w:color="FFFFFF"/>
              <w:right w:val="single" w:sz="8" w:space="0" w:color="FFFFFF"/>
            </w:tcBorders>
            <w:shd w:val="clear" w:color="000000" w:fill="FBCAA2"/>
            <w:vAlign w:val="center"/>
            <w:hideMark/>
          </w:tcPr>
          <w:p w14:paraId="022F39E5"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3 001</w:t>
            </w:r>
          </w:p>
        </w:tc>
        <w:tc>
          <w:tcPr>
            <w:tcW w:w="1557" w:type="dxa"/>
            <w:tcBorders>
              <w:top w:val="nil"/>
              <w:left w:val="nil"/>
              <w:bottom w:val="single" w:sz="8" w:space="0" w:color="FFFFFF"/>
              <w:right w:val="single" w:sz="8" w:space="0" w:color="FFFFFF"/>
            </w:tcBorders>
            <w:shd w:val="clear" w:color="000000" w:fill="FBCAA2"/>
            <w:vAlign w:val="center"/>
            <w:hideMark/>
          </w:tcPr>
          <w:p w14:paraId="68CCCAC0"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3 149</w:t>
            </w:r>
          </w:p>
        </w:tc>
        <w:tc>
          <w:tcPr>
            <w:tcW w:w="1557" w:type="dxa"/>
            <w:tcBorders>
              <w:top w:val="nil"/>
              <w:left w:val="nil"/>
              <w:bottom w:val="single" w:sz="8" w:space="0" w:color="FFFFFF"/>
              <w:right w:val="single" w:sz="8" w:space="0" w:color="FFFFFF"/>
            </w:tcBorders>
            <w:shd w:val="clear" w:color="000000" w:fill="FBCAA2"/>
            <w:vAlign w:val="center"/>
            <w:hideMark/>
          </w:tcPr>
          <w:p w14:paraId="138B0950" w14:textId="77777777" w:rsidR="00E80B40" w:rsidRPr="005A4CD7" w:rsidRDefault="00E80B40" w:rsidP="001D19BC">
            <w:pPr>
              <w:spacing w:after="0" w:line="240" w:lineRule="auto"/>
              <w:jc w:val="right"/>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105%</w:t>
            </w:r>
          </w:p>
        </w:tc>
      </w:tr>
      <w:tr w:rsidR="00E80B40" w:rsidRPr="005A4CD7" w14:paraId="051F6C2F" w14:textId="77777777" w:rsidTr="00E80B40">
        <w:trPr>
          <w:trHeight w:val="305"/>
          <w:jc w:val="center"/>
        </w:trPr>
        <w:tc>
          <w:tcPr>
            <w:tcW w:w="3884" w:type="dxa"/>
            <w:tcBorders>
              <w:top w:val="nil"/>
              <w:left w:val="single" w:sz="8" w:space="0" w:color="FFFFFF"/>
              <w:bottom w:val="single" w:sz="8" w:space="0" w:color="FFFFFF"/>
              <w:right w:val="single" w:sz="8" w:space="0" w:color="FFFFFF"/>
            </w:tcBorders>
            <w:shd w:val="clear" w:color="000000" w:fill="FDE4D0"/>
            <w:vAlign w:val="center"/>
            <w:hideMark/>
          </w:tcPr>
          <w:p w14:paraId="52955A78" w14:textId="77777777" w:rsidR="00E80B40" w:rsidRPr="005A4CD7" w:rsidRDefault="00E80B40" w:rsidP="001D19BC">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Разходи за дейността</w:t>
            </w:r>
          </w:p>
        </w:tc>
        <w:tc>
          <w:tcPr>
            <w:tcW w:w="1557" w:type="dxa"/>
            <w:tcBorders>
              <w:top w:val="nil"/>
              <w:left w:val="nil"/>
              <w:bottom w:val="single" w:sz="8" w:space="0" w:color="FFFFFF"/>
              <w:right w:val="single" w:sz="8" w:space="0" w:color="FFFFFF"/>
            </w:tcBorders>
            <w:shd w:val="clear" w:color="000000" w:fill="FDE4D0"/>
            <w:vAlign w:val="center"/>
            <w:hideMark/>
          </w:tcPr>
          <w:p w14:paraId="46BC7CDE"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2 297</w:t>
            </w:r>
          </w:p>
        </w:tc>
        <w:tc>
          <w:tcPr>
            <w:tcW w:w="1557" w:type="dxa"/>
            <w:tcBorders>
              <w:top w:val="nil"/>
              <w:left w:val="nil"/>
              <w:bottom w:val="single" w:sz="8" w:space="0" w:color="FFFFFF"/>
              <w:right w:val="single" w:sz="8" w:space="0" w:color="FFFFFF"/>
            </w:tcBorders>
            <w:shd w:val="clear" w:color="000000" w:fill="FDE4D0"/>
            <w:vAlign w:val="center"/>
            <w:hideMark/>
          </w:tcPr>
          <w:p w14:paraId="480F313B"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3 269</w:t>
            </w:r>
          </w:p>
        </w:tc>
        <w:tc>
          <w:tcPr>
            <w:tcW w:w="1557" w:type="dxa"/>
            <w:tcBorders>
              <w:top w:val="nil"/>
              <w:left w:val="nil"/>
              <w:bottom w:val="single" w:sz="8" w:space="0" w:color="FFFFFF"/>
              <w:right w:val="single" w:sz="8" w:space="0" w:color="FFFFFF"/>
            </w:tcBorders>
            <w:shd w:val="clear" w:color="000000" w:fill="FDE4D0"/>
            <w:vAlign w:val="center"/>
            <w:hideMark/>
          </w:tcPr>
          <w:p w14:paraId="09E08372" w14:textId="77777777" w:rsidR="00E80B40" w:rsidRPr="005A4CD7" w:rsidRDefault="00E80B40" w:rsidP="001D19BC">
            <w:pPr>
              <w:spacing w:after="0" w:line="240" w:lineRule="auto"/>
              <w:jc w:val="right"/>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142%</w:t>
            </w:r>
          </w:p>
        </w:tc>
      </w:tr>
      <w:tr w:rsidR="00E80B40" w:rsidRPr="005A4CD7" w14:paraId="184E07BE" w14:textId="77777777" w:rsidTr="0007692F">
        <w:trPr>
          <w:trHeight w:val="305"/>
          <w:jc w:val="center"/>
        </w:trPr>
        <w:tc>
          <w:tcPr>
            <w:tcW w:w="3884" w:type="dxa"/>
            <w:tcBorders>
              <w:top w:val="nil"/>
              <w:left w:val="single" w:sz="8" w:space="0" w:color="FFFFFF"/>
              <w:bottom w:val="single" w:sz="8" w:space="0" w:color="FFFFFF"/>
              <w:right w:val="single" w:sz="8" w:space="0" w:color="FFFFFF"/>
            </w:tcBorders>
            <w:shd w:val="clear" w:color="000000" w:fill="FBCAA2"/>
            <w:vAlign w:val="center"/>
            <w:hideMark/>
          </w:tcPr>
          <w:p w14:paraId="2185EA4B" w14:textId="77777777" w:rsidR="00E80B40" w:rsidRPr="005A4CD7" w:rsidRDefault="00E80B40" w:rsidP="001D19BC">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Печалба (загуба)</w:t>
            </w:r>
          </w:p>
        </w:tc>
        <w:tc>
          <w:tcPr>
            <w:tcW w:w="1557" w:type="dxa"/>
            <w:tcBorders>
              <w:top w:val="nil"/>
              <w:left w:val="nil"/>
              <w:bottom w:val="single" w:sz="8" w:space="0" w:color="FFFFFF"/>
              <w:right w:val="single" w:sz="8" w:space="0" w:color="FFFFFF"/>
            </w:tcBorders>
            <w:shd w:val="clear" w:color="000000" w:fill="FBCAA2"/>
            <w:vAlign w:val="center"/>
            <w:hideMark/>
          </w:tcPr>
          <w:p w14:paraId="297A00F6"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4</w:t>
            </w:r>
          </w:p>
        </w:tc>
        <w:tc>
          <w:tcPr>
            <w:tcW w:w="1557" w:type="dxa"/>
            <w:tcBorders>
              <w:top w:val="nil"/>
              <w:left w:val="nil"/>
              <w:bottom w:val="single" w:sz="8" w:space="0" w:color="FFFFFF"/>
              <w:right w:val="single" w:sz="8" w:space="0" w:color="FFFFFF"/>
            </w:tcBorders>
            <w:shd w:val="clear" w:color="000000" w:fill="FBCAA2"/>
            <w:vAlign w:val="center"/>
            <w:hideMark/>
          </w:tcPr>
          <w:p w14:paraId="48839C4F"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-120</w:t>
            </w:r>
          </w:p>
        </w:tc>
        <w:tc>
          <w:tcPr>
            <w:tcW w:w="1557" w:type="dxa"/>
            <w:tcBorders>
              <w:top w:val="nil"/>
              <w:left w:val="nil"/>
              <w:bottom w:val="single" w:sz="8" w:space="0" w:color="FFFFFF"/>
              <w:right w:val="single" w:sz="8" w:space="0" w:color="FFFFFF"/>
            </w:tcBorders>
            <w:shd w:val="clear" w:color="000000" w:fill="FBCAA2"/>
            <w:vAlign w:val="center"/>
          </w:tcPr>
          <w:p w14:paraId="7C104C5A" w14:textId="2FBF03EF" w:rsidR="00E80B40" w:rsidRPr="005A4CD7" w:rsidRDefault="00E80B40" w:rsidP="001D19BC">
            <w:pPr>
              <w:spacing w:after="0" w:line="240" w:lineRule="auto"/>
              <w:jc w:val="right"/>
              <w:rPr>
                <w:rFonts w:ascii="Times New Roman" w:eastAsia="Times New Roman" w:hAnsi="Times New Roman" w:cs="Times New Roman"/>
                <w:color w:val="000000"/>
                <w:sz w:val="18"/>
                <w:szCs w:val="18"/>
                <w:lang w:eastAsia="bg-BG"/>
              </w:rPr>
            </w:pPr>
          </w:p>
        </w:tc>
      </w:tr>
      <w:tr w:rsidR="00E80B40" w:rsidRPr="005A4CD7" w14:paraId="540DCD79" w14:textId="77777777" w:rsidTr="0007692F">
        <w:trPr>
          <w:trHeight w:val="305"/>
          <w:jc w:val="center"/>
        </w:trPr>
        <w:tc>
          <w:tcPr>
            <w:tcW w:w="3884" w:type="dxa"/>
            <w:tcBorders>
              <w:top w:val="nil"/>
              <w:left w:val="single" w:sz="8" w:space="0" w:color="FFFFFF"/>
              <w:bottom w:val="single" w:sz="8" w:space="0" w:color="FFFFFF"/>
              <w:right w:val="single" w:sz="8" w:space="0" w:color="FFFFFF"/>
            </w:tcBorders>
            <w:shd w:val="clear" w:color="000000" w:fill="FDE4D0"/>
            <w:vAlign w:val="center"/>
            <w:hideMark/>
          </w:tcPr>
          <w:p w14:paraId="048BBEFF" w14:textId="77777777" w:rsidR="00E80B40" w:rsidRPr="005A4CD7" w:rsidRDefault="00E80B40" w:rsidP="001D19BC">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Рентабилност</w:t>
            </w:r>
          </w:p>
        </w:tc>
        <w:tc>
          <w:tcPr>
            <w:tcW w:w="1557" w:type="dxa"/>
            <w:tcBorders>
              <w:top w:val="nil"/>
              <w:left w:val="nil"/>
              <w:bottom w:val="single" w:sz="8" w:space="0" w:color="FFFFFF"/>
              <w:right w:val="single" w:sz="8" w:space="0" w:color="FFFFFF"/>
            </w:tcBorders>
            <w:shd w:val="clear" w:color="000000" w:fill="FDE4D0"/>
            <w:vAlign w:val="center"/>
            <w:hideMark/>
          </w:tcPr>
          <w:p w14:paraId="002AEE3E"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0,13%</w:t>
            </w:r>
          </w:p>
        </w:tc>
        <w:tc>
          <w:tcPr>
            <w:tcW w:w="1557" w:type="dxa"/>
            <w:tcBorders>
              <w:top w:val="nil"/>
              <w:left w:val="nil"/>
              <w:bottom w:val="single" w:sz="8" w:space="0" w:color="FFFFFF"/>
              <w:right w:val="single" w:sz="8" w:space="0" w:color="FFFFFF"/>
            </w:tcBorders>
            <w:shd w:val="clear" w:color="000000" w:fill="FDE4D0"/>
            <w:vAlign w:val="center"/>
            <w:hideMark/>
          </w:tcPr>
          <w:p w14:paraId="0A027D72"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-3,81%</w:t>
            </w:r>
          </w:p>
        </w:tc>
        <w:tc>
          <w:tcPr>
            <w:tcW w:w="1557" w:type="dxa"/>
            <w:tcBorders>
              <w:top w:val="nil"/>
              <w:left w:val="nil"/>
              <w:bottom w:val="single" w:sz="8" w:space="0" w:color="FFFFFF"/>
              <w:right w:val="single" w:sz="8" w:space="0" w:color="FFFFFF"/>
            </w:tcBorders>
            <w:shd w:val="clear" w:color="000000" w:fill="FDE4D0"/>
            <w:vAlign w:val="center"/>
          </w:tcPr>
          <w:p w14:paraId="1C932561" w14:textId="4E06BD77" w:rsidR="00E80B40" w:rsidRPr="005A4CD7" w:rsidRDefault="00E80B40" w:rsidP="001D19BC">
            <w:pPr>
              <w:spacing w:after="0" w:line="240" w:lineRule="auto"/>
              <w:jc w:val="right"/>
              <w:rPr>
                <w:rFonts w:ascii="Times New Roman" w:eastAsia="Times New Roman" w:hAnsi="Times New Roman" w:cs="Times New Roman"/>
                <w:color w:val="000000"/>
                <w:sz w:val="18"/>
                <w:szCs w:val="18"/>
                <w:lang w:eastAsia="bg-BG"/>
              </w:rPr>
            </w:pPr>
          </w:p>
        </w:tc>
      </w:tr>
      <w:tr w:rsidR="00E80B40" w:rsidRPr="005A4CD7" w14:paraId="25C6766A" w14:textId="77777777" w:rsidTr="00E80B40">
        <w:trPr>
          <w:trHeight w:val="305"/>
          <w:jc w:val="center"/>
        </w:trPr>
        <w:tc>
          <w:tcPr>
            <w:tcW w:w="3884" w:type="dxa"/>
            <w:tcBorders>
              <w:top w:val="nil"/>
              <w:left w:val="single" w:sz="8" w:space="0" w:color="FFFFFF"/>
              <w:bottom w:val="single" w:sz="8" w:space="0" w:color="FFFFFF"/>
              <w:right w:val="single" w:sz="8" w:space="0" w:color="FFFFFF"/>
            </w:tcBorders>
            <w:shd w:val="clear" w:color="000000" w:fill="FBCAA2"/>
            <w:vAlign w:val="center"/>
            <w:hideMark/>
          </w:tcPr>
          <w:p w14:paraId="30908458" w14:textId="77777777" w:rsidR="00E80B40" w:rsidRPr="005A4CD7" w:rsidRDefault="00E80B40" w:rsidP="001D19BC">
            <w:pPr>
              <w:spacing w:after="0" w:line="240" w:lineRule="auto"/>
              <w:jc w:val="both"/>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Численост на персонала</w:t>
            </w:r>
          </w:p>
        </w:tc>
        <w:tc>
          <w:tcPr>
            <w:tcW w:w="1557" w:type="dxa"/>
            <w:tcBorders>
              <w:top w:val="nil"/>
              <w:left w:val="nil"/>
              <w:bottom w:val="single" w:sz="8" w:space="0" w:color="FFFFFF"/>
              <w:right w:val="single" w:sz="8" w:space="0" w:color="FFFFFF"/>
            </w:tcBorders>
            <w:shd w:val="clear" w:color="000000" w:fill="FBCAA2"/>
            <w:vAlign w:val="center"/>
            <w:hideMark/>
          </w:tcPr>
          <w:p w14:paraId="3331FCFC"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100</w:t>
            </w:r>
          </w:p>
        </w:tc>
        <w:tc>
          <w:tcPr>
            <w:tcW w:w="1557" w:type="dxa"/>
            <w:tcBorders>
              <w:top w:val="nil"/>
              <w:left w:val="nil"/>
              <w:bottom w:val="single" w:sz="8" w:space="0" w:color="FFFFFF"/>
              <w:right w:val="single" w:sz="8" w:space="0" w:color="FFFFFF"/>
            </w:tcBorders>
            <w:shd w:val="clear" w:color="000000" w:fill="FBCAA2"/>
            <w:vAlign w:val="center"/>
            <w:hideMark/>
          </w:tcPr>
          <w:p w14:paraId="1FC3214C" w14:textId="77777777" w:rsidR="00E80B40" w:rsidRPr="005A4CD7" w:rsidRDefault="00E80B40" w:rsidP="001D19BC">
            <w:pPr>
              <w:spacing w:after="0" w:line="240" w:lineRule="auto"/>
              <w:jc w:val="right"/>
              <w:rPr>
                <w:rFonts w:ascii="Times New Roman" w:eastAsia="Times New Roman" w:hAnsi="Times New Roman" w:cs="Times New Roman"/>
                <w:sz w:val="18"/>
                <w:szCs w:val="18"/>
                <w:lang w:eastAsia="bg-BG"/>
              </w:rPr>
            </w:pPr>
            <w:r w:rsidRPr="005A4CD7">
              <w:rPr>
                <w:rFonts w:ascii="Times New Roman" w:eastAsia="Times New Roman" w:hAnsi="Times New Roman" w:cs="Times New Roman"/>
                <w:sz w:val="18"/>
                <w:szCs w:val="18"/>
                <w:lang w:eastAsia="bg-BG"/>
              </w:rPr>
              <w:t>89</w:t>
            </w:r>
          </w:p>
        </w:tc>
        <w:tc>
          <w:tcPr>
            <w:tcW w:w="1557" w:type="dxa"/>
            <w:tcBorders>
              <w:top w:val="nil"/>
              <w:left w:val="nil"/>
              <w:bottom w:val="single" w:sz="8" w:space="0" w:color="FFFFFF"/>
              <w:right w:val="single" w:sz="8" w:space="0" w:color="FFFFFF"/>
            </w:tcBorders>
            <w:shd w:val="clear" w:color="000000" w:fill="FBCAA2"/>
            <w:vAlign w:val="center"/>
            <w:hideMark/>
          </w:tcPr>
          <w:p w14:paraId="1BE11A9B" w14:textId="77777777" w:rsidR="00E80B40" w:rsidRPr="005A4CD7" w:rsidRDefault="00E80B40" w:rsidP="001D19BC">
            <w:pPr>
              <w:spacing w:after="0" w:line="240" w:lineRule="auto"/>
              <w:jc w:val="right"/>
              <w:rPr>
                <w:rFonts w:ascii="Times New Roman" w:eastAsia="Times New Roman" w:hAnsi="Times New Roman" w:cs="Times New Roman"/>
                <w:color w:val="000000"/>
                <w:sz w:val="18"/>
                <w:szCs w:val="18"/>
                <w:lang w:eastAsia="bg-BG"/>
              </w:rPr>
            </w:pPr>
            <w:r w:rsidRPr="005A4CD7">
              <w:rPr>
                <w:rFonts w:ascii="Times New Roman" w:eastAsia="Times New Roman" w:hAnsi="Times New Roman" w:cs="Times New Roman"/>
                <w:color w:val="000000"/>
                <w:sz w:val="18"/>
                <w:szCs w:val="18"/>
                <w:lang w:eastAsia="bg-BG"/>
              </w:rPr>
              <w:t>89%</w:t>
            </w:r>
          </w:p>
        </w:tc>
      </w:tr>
    </w:tbl>
    <w:p w14:paraId="49B98CA2" w14:textId="77777777" w:rsidR="00E80B40" w:rsidRDefault="00E80B40" w:rsidP="00E80B40">
      <w:pPr>
        <w:spacing w:after="0" w:line="240" w:lineRule="auto"/>
        <w:ind w:firstLine="708"/>
        <w:jc w:val="both"/>
        <w:outlineLvl w:val="0"/>
        <w:rPr>
          <w:rFonts w:ascii="Times New Roman" w:eastAsia="Times New Roman" w:hAnsi="Times New Roman" w:cs="Times New Roman"/>
          <w:bCs/>
          <w:sz w:val="24"/>
          <w:szCs w:val="24"/>
        </w:rPr>
      </w:pPr>
    </w:p>
    <w:p w14:paraId="01C6A604" w14:textId="014EF917" w:rsidR="00A75659" w:rsidRDefault="00737377" w:rsidP="00D22B00">
      <w:pPr>
        <w:keepNext/>
        <w:spacing w:after="0" w:line="240" w:lineRule="auto"/>
        <w:ind w:firstLine="851"/>
        <w:jc w:val="both"/>
        <w:outlineLvl w:val="0"/>
        <w:rPr>
          <w:rFonts w:ascii="Times New Roman" w:eastAsia="Times New Roman" w:hAnsi="Times New Roman" w:cs="Times New Roman"/>
          <w:bCs/>
          <w:sz w:val="24"/>
          <w:szCs w:val="24"/>
        </w:rPr>
      </w:pPr>
      <w:r w:rsidRPr="00737377">
        <w:rPr>
          <w:rFonts w:ascii="Times New Roman" w:eastAsia="Times New Roman" w:hAnsi="Times New Roman" w:cs="Times New Roman"/>
          <w:bCs/>
          <w:sz w:val="24"/>
          <w:szCs w:val="24"/>
        </w:rPr>
        <w:t>Изпълнението на финансовите цели за</w:t>
      </w:r>
      <w:r>
        <w:rPr>
          <w:rFonts w:ascii="Times New Roman" w:eastAsia="Times New Roman" w:hAnsi="Times New Roman" w:cs="Times New Roman"/>
          <w:bCs/>
          <w:sz w:val="24"/>
          <w:szCs w:val="24"/>
        </w:rPr>
        <w:t xml:space="preserve"> отчетния </w:t>
      </w:r>
      <w:r w:rsidRPr="00737377">
        <w:rPr>
          <w:rFonts w:ascii="Times New Roman" w:eastAsia="Times New Roman" w:hAnsi="Times New Roman" w:cs="Times New Roman"/>
          <w:bCs/>
          <w:sz w:val="24"/>
          <w:szCs w:val="24"/>
        </w:rPr>
        <w:t>период</w:t>
      </w:r>
      <w:r>
        <w:rPr>
          <w:rFonts w:ascii="Times New Roman" w:eastAsia="Times New Roman" w:hAnsi="Times New Roman" w:cs="Times New Roman"/>
          <w:bCs/>
          <w:sz w:val="24"/>
          <w:szCs w:val="24"/>
        </w:rPr>
        <w:t xml:space="preserve"> е представено в следващата таблица.</w:t>
      </w:r>
    </w:p>
    <w:p w14:paraId="70524C9E" w14:textId="0D7F792E" w:rsidR="0007692F" w:rsidRDefault="0007692F" w:rsidP="0007692F">
      <w:pPr>
        <w:keepNext/>
        <w:spacing w:after="0" w:line="240" w:lineRule="auto"/>
        <w:ind w:firstLine="851"/>
        <w:rPr>
          <w:rFonts w:ascii="Times New Roman" w:eastAsia="Times New Roman" w:hAnsi="Times New Roman" w:cs="Times New Roman"/>
          <w:b/>
          <w:bCs/>
          <w:iCs/>
          <w:sz w:val="20"/>
          <w:szCs w:val="24"/>
        </w:rPr>
      </w:pPr>
      <w:r w:rsidRPr="0007692F">
        <w:rPr>
          <w:rFonts w:ascii="Times New Roman" w:eastAsia="Times New Roman" w:hAnsi="Times New Roman" w:cs="Times New Roman"/>
          <w:b/>
          <w:bCs/>
          <w:iCs/>
          <w:sz w:val="20"/>
          <w:szCs w:val="24"/>
        </w:rPr>
        <w:t>Таблица 1</w:t>
      </w:r>
      <w:r w:rsidR="003B5EAC">
        <w:rPr>
          <w:rFonts w:ascii="Times New Roman" w:eastAsia="Times New Roman" w:hAnsi="Times New Roman" w:cs="Times New Roman"/>
          <w:b/>
          <w:bCs/>
          <w:iCs/>
          <w:sz w:val="20"/>
          <w:szCs w:val="24"/>
        </w:rPr>
        <w:t>2</w:t>
      </w:r>
    </w:p>
    <w:p w14:paraId="34ECBE24" w14:textId="6C537B21" w:rsidR="00D22B00" w:rsidRDefault="00571FC8" w:rsidP="00D22B00">
      <w:pPr>
        <w:spacing w:after="0" w:line="240" w:lineRule="auto"/>
        <w:jc w:val="center"/>
        <w:rPr>
          <w:rFonts w:ascii="Times New Roman" w:eastAsia="Times New Roman" w:hAnsi="Times New Roman" w:cs="Times New Roman"/>
          <w:b/>
          <w:bCs/>
          <w:iCs/>
          <w:sz w:val="20"/>
          <w:szCs w:val="24"/>
        </w:rPr>
      </w:pPr>
      <w:r w:rsidRPr="00571FC8">
        <w:rPr>
          <w:noProof/>
        </w:rPr>
        <w:drawing>
          <wp:inline distT="0" distB="0" distL="0" distR="0" wp14:anchorId="138E9BF9" wp14:editId="06183F45">
            <wp:extent cx="5340096" cy="3093181"/>
            <wp:effectExtent l="0" t="0" r="0" b="0"/>
            <wp:docPr id="6017311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44956" cy="3095996"/>
                    </a:xfrm>
                    <a:prstGeom prst="rect">
                      <a:avLst/>
                    </a:prstGeom>
                    <a:noFill/>
                    <a:ln>
                      <a:noFill/>
                    </a:ln>
                  </pic:spPr>
                </pic:pic>
              </a:graphicData>
            </a:graphic>
          </wp:inline>
        </w:drawing>
      </w:r>
    </w:p>
    <w:p w14:paraId="73EA7067" w14:textId="77777777" w:rsidR="0007692F" w:rsidRDefault="0007692F" w:rsidP="00A75659">
      <w:pPr>
        <w:spacing w:after="0" w:line="240" w:lineRule="auto"/>
        <w:ind w:firstLine="851"/>
        <w:jc w:val="both"/>
        <w:outlineLvl w:val="0"/>
        <w:rPr>
          <w:rFonts w:ascii="Times New Roman" w:eastAsia="Times New Roman" w:hAnsi="Times New Roman" w:cs="Times New Roman"/>
          <w:bCs/>
          <w:sz w:val="24"/>
          <w:szCs w:val="24"/>
        </w:rPr>
      </w:pPr>
    </w:p>
    <w:p w14:paraId="37766292" w14:textId="12D793B2" w:rsidR="005A4CD7" w:rsidRDefault="005A4CD7" w:rsidP="00D92553">
      <w:pPr>
        <w:spacing w:after="0" w:line="240" w:lineRule="auto"/>
        <w:ind w:firstLine="851"/>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Отражението на кризата във всички сфери на обществения живот доведоха до изграждането на такава мениджърска политика на дружеството и набелязване на такива антикризисни мерки, които да не позволят сриването на качеството на предлаганите медицински услуги</w:t>
      </w:r>
      <w:r>
        <w:rPr>
          <w:rFonts w:ascii="Times New Roman" w:eastAsia="Times New Roman" w:hAnsi="Times New Roman" w:cs="Times New Roman"/>
          <w:bCs/>
          <w:sz w:val="24"/>
          <w:szCs w:val="24"/>
        </w:rPr>
        <w:t>.</w:t>
      </w:r>
    </w:p>
    <w:p w14:paraId="6621F84C" w14:textId="741F366B" w:rsidR="005A4CD7" w:rsidRDefault="005A4CD7" w:rsidP="00D92553">
      <w:pPr>
        <w:spacing w:after="0" w:line="240" w:lineRule="auto"/>
        <w:ind w:firstLine="851"/>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 xml:space="preserve">Отрицателният финансов резултат за деветмесечието на 2024 година </w:t>
      </w:r>
      <w:r>
        <w:rPr>
          <w:rFonts w:ascii="Times New Roman" w:eastAsia="Times New Roman" w:hAnsi="Times New Roman" w:cs="Times New Roman"/>
          <w:bCs/>
          <w:sz w:val="24"/>
          <w:szCs w:val="24"/>
        </w:rPr>
        <w:t>се дължи на</w:t>
      </w:r>
      <w:r w:rsidRPr="005A4CD7">
        <w:rPr>
          <w:rFonts w:ascii="Times New Roman" w:eastAsia="Times New Roman" w:hAnsi="Times New Roman" w:cs="Times New Roman"/>
          <w:bCs/>
          <w:sz w:val="24"/>
          <w:szCs w:val="24"/>
        </w:rPr>
        <w:t xml:space="preserve"> по-малко преминали пациенти, вследствие на отпаднали резервации. След направен анализ, управлението на болницата предприе незабавни мерки във връзка със създалата се ситуация, </w:t>
      </w:r>
      <w:r w:rsidR="00A4610E">
        <w:rPr>
          <w:rFonts w:ascii="Times New Roman" w:eastAsia="Times New Roman" w:hAnsi="Times New Roman" w:cs="Times New Roman"/>
          <w:bCs/>
          <w:sz w:val="24"/>
          <w:szCs w:val="24"/>
        </w:rPr>
        <w:t xml:space="preserve">тъй като има </w:t>
      </w:r>
      <w:r>
        <w:rPr>
          <w:rFonts w:ascii="Times New Roman" w:eastAsia="Times New Roman" w:hAnsi="Times New Roman" w:cs="Times New Roman"/>
          <w:bCs/>
          <w:sz w:val="24"/>
          <w:szCs w:val="24"/>
        </w:rPr>
        <w:t xml:space="preserve"> голям</w:t>
      </w:r>
      <w:r w:rsidRPr="005A4CD7">
        <w:rPr>
          <w:rFonts w:ascii="Times New Roman" w:eastAsia="Times New Roman" w:hAnsi="Times New Roman" w:cs="Times New Roman"/>
          <w:bCs/>
          <w:sz w:val="24"/>
          <w:szCs w:val="24"/>
        </w:rPr>
        <w:t xml:space="preserve"> интерес </w:t>
      </w:r>
      <w:r w:rsidR="00A4610E">
        <w:rPr>
          <w:rFonts w:ascii="Times New Roman" w:eastAsia="Times New Roman" w:hAnsi="Times New Roman" w:cs="Times New Roman"/>
          <w:bCs/>
          <w:sz w:val="24"/>
          <w:szCs w:val="24"/>
        </w:rPr>
        <w:t>от</w:t>
      </w:r>
      <w:r w:rsidRPr="005A4CD7">
        <w:rPr>
          <w:rFonts w:ascii="Times New Roman" w:eastAsia="Times New Roman" w:hAnsi="Times New Roman" w:cs="Times New Roman"/>
          <w:bCs/>
          <w:sz w:val="24"/>
          <w:szCs w:val="24"/>
        </w:rPr>
        <w:t xml:space="preserve"> пациенти</w:t>
      </w:r>
      <w:r w:rsidR="00A4610E">
        <w:rPr>
          <w:rFonts w:ascii="Times New Roman" w:eastAsia="Times New Roman" w:hAnsi="Times New Roman" w:cs="Times New Roman"/>
          <w:bCs/>
          <w:sz w:val="24"/>
          <w:szCs w:val="24"/>
        </w:rPr>
        <w:t>, които искат</w:t>
      </w:r>
      <w:r w:rsidRPr="005A4CD7">
        <w:rPr>
          <w:rFonts w:ascii="Times New Roman" w:eastAsia="Times New Roman" w:hAnsi="Times New Roman" w:cs="Times New Roman"/>
          <w:bCs/>
          <w:sz w:val="24"/>
          <w:szCs w:val="24"/>
        </w:rPr>
        <w:t xml:space="preserve"> да </w:t>
      </w:r>
      <w:r>
        <w:rPr>
          <w:rFonts w:ascii="Times New Roman" w:eastAsia="Times New Roman" w:hAnsi="Times New Roman" w:cs="Times New Roman"/>
          <w:bCs/>
          <w:sz w:val="24"/>
          <w:szCs w:val="24"/>
        </w:rPr>
        <w:t xml:space="preserve">се възползват от предлаганите медицински дейности </w:t>
      </w:r>
      <w:r w:rsidR="00A4610E">
        <w:rPr>
          <w:rFonts w:ascii="Times New Roman" w:eastAsia="Times New Roman" w:hAnsi="Times New Roman" w:cs="Times New Roman"/>
          <w:bCs/>
          <w:sz w:val="24"/>
          <w:szCs w:val="24"/>
        </w:rPr>
        <w:t>на</w:t>
      </w:r>
      <w:r>
        <w:rPr>
          <w:rFonts w:ascii="Times New Roman" w:eastAsia="Times New Roman" w:hAnsi="Times New Roman" w:cs="Times New Roman"/>
          <w:bCs/>
          <w:sz w:val="24"/>
          <w:szCs w:val="24"/>
        </w:rPr>
        <w:t xml:space="preserve"> </w:t>
      </w:r>
      <w:r w:rsidRPr="005A4CD7">
        <w:rPr>
          <w:rFonts w:ascii="Times New Roman" w:eastAsia="Times New Roman" w:hAnsi="Times New Roman" w:cs="Times New Roman"/>
          <w:bCs/>
          <w:sz w:val="24"/>
          <w:szCs w:val="24"/>
        </w:rPr>
        <w:t>болницата</w:t>
      </w:r>
      <w:r>
        <w:rPr>
          <w:rFonts w:ascii="Times New Roman" w:eastAsia="Times New Roman" w:hAnsi="Times New Roman" w:cs="Times New Roman"/>
          <w:bCs/>
          <w:sz w:val="24"/>
          <w:szCs w:val="24"/>
        </w:rPr>
        <w:t>.</w:t>
      </w:r>
    </w:p>
    <w:p w14:paraId="6E5E9D12" w14:textId="19291B5E" w:rsidR="00D92553" w:rsidRPr="001063DF" w:rsidRDefault="005A4CD7" w:rsidP="00D92553">
      <w:pPr>
        <w:spacing w:after="0" w:line="240" w:lineRule="auto"/>
        <w:ind w:firstLine="851"/>
        <w:jc w:val="both"/>
        <w:outlineLvl w:val="0"/>
        <w:rPr>
          <w:rFonts w:ascii="Times New Roman" w:eastAsia="Times New Roman" w:hAnsi="Times New Roman" w:cs="Times New Roman"/>
          <w:bCs/>
          <w:sz w:val="24"/>
          <w:szCs w:val="24"/>
        </w:rPr>
      </w:pPr>
      <w:r w:rsidRPr="005A4CD7">
        <w:rPr>
          <w:rFonts w:ascii="Times New Roman" w:eastAsia="Times New Roman" w:hAnsi="Times New Roman" w:cs="Times New Roman"/>
          <w:bCs/>
          <w:sz w:val="24"/>
          <w:szCs w:val="24"/>
        </w:rPr>
        <w:t xml:space="preserve">Обмислят се мерки в един по-дългосрочен план до края </w:t>
      </w:r>
      <w:r w:rsidR="00E80B40">
        <w:rPr>
          <w:rFonts w:ascii="Times New Roman" w:eastAsia="Times New Roman" w:hAnsi="Times New Roman" w:cs="Times New Roman"/>
          <w:bCs/>
          <w:sz w:val="24"/>
          <w:szCs w:val="24"/>
        </w:rPr>
        <w:t xml:space="preserve">на тази </w:t>
      </w:r>
      <w:r w:rsidRPr="005A4CD7">
        <w:rPr>
          <w:rFonts w:ascii="Times New Roman" w:eastAsia="Times New Roman" w:hAnsi="Times New Roman" w:cs="Times New Roman"/>
          <w:bCs/>
          <w:sz w:val="24"/>
          <w:szCs w:val="24"/>
        </w:rPr>
        <w:t xml:space="preserve">и през следващата отчетна година, така че СБР „Света Богородица“ ЕООД да се справи успешно, </w:t>
      </w:r>
      <w:r w:rsidR="00E80B40">
        <w:rPr>
          <w:rFonts w:ascii="Times New Roman" w:eastAsia="Times New Roman" w:hAnsi="Times New Roman" w:cs="Times New Roman"/>
          <w:bCs/>
          <w:sz w:val="24"/>
          <w:szCs w:val="24"/>
        </w:rPr>
        <w:t>в случай на</w:t>
      </w:r>
      <w:r w:rsidRPr="005A4CD7">
        <w:rPr>
          <w:rFonts w:ascii="Times New Roman" w:eastAsia="Times New Roman" w:hAnsi="Times New Roman" w:cs="Times New Roman"/>
          <w:bCs/>
          <w:sz w:val="24"/>
          <w:szCs w:val="24"/>
        </w:rPr>
        <w:t xml:space="preserve"> възникна</w:t>
      </w:r>
      <w:r w:rsidR="00E80B40">
        <w:rPr>
          <w:rFonts w:ascii="Times New Roman" w:eastAsia="Times New Roman" w:hAnsi="Times New Roman" w:cs="Times New Roman"/>
          <w:bCs/>
          <w:sz w:val="24"/>
          <w:szCs w:val="24"/>
        </w:rPr>
        <w:t>ли</w:t>
      </w:r>
      <w:r w:rsidRPr="005A4CD7">
        <w:rPr>
          <w:rFonts w:ascii="Times New Roman" w:eastAsia="Times New Roman" w:hAnsi="Times New Roman" w:cs="Times New Roman"/>
          <w:bCs/>
          <w:sz w:val="24"/>
          <w:szCs w:val="24"/>
        </w:rPr>
        <w:t xml:space="preserve"> усложнения от обективен и субективен характер. </w:t>
      </w:r>
      <w:r w:rsidR="00E80B40" w:rsidRPr="00E80B40">
        <w:rPr>
          <w:rFonts w:ascii="Times New Roman" w:eastAsia="Times New Roman" w:hAnsi="Times New Roman" w:cs="Times New Roman"/>
          <w:bCs/>
          <w:sz w:val="24"/>
          <w:szCs w:val="24"/>
        </w:rPr>
        <w:t xml:space="preserve">СБР „Света Богородица“ ЕООД </w:t>
      </w:r>
      <w:r w:rsidRPr="005A4CD7">
        <w:rPr>
          <w:rFonts w:ascii="Times New Roman" w:eastAsia="Times New Roman" w:hAnsi="Times New Roman" w:cs="Times New Roman"/>
          <w:bCs/>
          <w:sz w:val="24"/>
          <w:szCs w:val="24"/>
        </w:rPr>
        <w:t>има необходимия потенциал за изпълнение на задачите</w:t>
      </w:r>
      <w:r w:rsidR="00D92553" w:rsidRPr="005A4CD7">
        <w:rPr>
          <w:rFonts w:ascii="Times New Roman" w:eastAsia="Times New Roman" w:hAnsi="Times New Roman" w:cs="Times New Roman"/>
          <w:bCs/>
          <w:sz w:val="24"/>
          <w:szCs w:val="24"/>
        </w:rPr>
        <w:t>.</w:t>
      </w:r>
    </w:p>
    <w:p w14:paraId="23DD2998" w14:textId="77777777" w:rsidR="00D92553" w:rsidRDefault="00D92553" w:rsidP="009D4335">
      <w:pPr>
        <w:spacing w:after="0" w:line="240" w:lineRule="auto"/>
        <w:ind w:firstLine="851"/>
        <w:jc w:val="both"/>
        <w:outlineLvl w:val="0"/>
        <w:rPr>
          <w:rFonts w:ascii="Times New Roman" w:eastAsia="Times New Roman" w:hAnsi="Times New Roman" w:cs="Times New Roman"/>
          <w:bCs/>
          <w:sz w:val="24"/>
          <w:szCs w:val="24"/>
        </w:rPr>
      </w:pPr>
    </w:p>
    <w:p w14:paraId="7691720D" w14:textId="77777777" w:rsidR="00D92553" w:rsidRPr="000837AE" w:rsidRDefault="00D92553" w:rsidP="009D4335">
      <w:pPr>
        <w:spacing w:after="0" w:line="240" w:lineRule="auto"/>
        <w:ind w:firstLine="851"/>
        <w:jc w:val="both"/>
        <w:outlineLvl w:val="0"/>
        <w:rPr>
          <w:rFonts w:ascii="Times New Roman" w:eastAsia="Times New Roman" w:hAnsi="Times New Roman" w:cs="Times New Roman"/>
          <w:bCs/>
          <w:sz w:val="24"/>
          <w:szCs w:val="24"/>
        </w:rPr>
      </w:pPr>
    </w:p>
    <w:p w14:paraId="0B79149F" w14:textId="77777777" w:rsidR="00986EA7" w:rsidRPr="000837AE" w:rsidRDefault="00986EA7" w:rsidP="001A6081">
      <w:pPr>
        <w:suppressAutoHyphens/>
        <w:jc w:val="both"/>
        <w:rPr>
          <w:rFonts w:ascii="Times New Roman" w:eastAsia="Calibri" w:hAnsi="Times New Roman" w:cs="Times New Roman"/>
          <w:sz w:val="24"/>
          <w:szCs w:val="24"/>
        </w:rPr>
      </w:pPr>
    </w:p>
    <w:p w14:paraId="590476A2" w14:textId="56A3D859" w:rsidR="001A6081" w:rsidRPr="000837AE" w:rsidRDefault="00A4610E" w:rsidP="00B47F66">
      <w:pPr>
        <w:tabs>
          <w:tab w:val="left" w:pos="4536"/>
        </w:tabs>
        <w:suppressAutoHyphens/>
        <w:autoSpaceDE w:val="0"/>
        <w:jc w:val="both"/>
        <w:rPr>
          <w:rFonts w:ascii="Times New Roman" w:hAnsi="Times New Roman" w:cs="Times New Roman"/>
          <w:b/>
          <w:sz w:val="24"/>
          <w:szCs w:val="24"/>
          <w:lang w:eastAsia="zh-CN"/>
        </w:rPr>
      </w:pPr>
      <w:r>
        <w:rPr>
          <w:rFonts w:ascii="Times New Roman" w:hAnsi="Times New Roman" w:cs="Times New Roman"/>
          <w:sz w:val="24"/>
          <w:szCs w:val="24"/>
          <w:lang w:eastAsia="zh-CN"/>
        </w:rPr>
        <w:t>21</w:t>
      </w:r>
      <w:r w:rsidR="001A6081" w:rsidRPr="000837AE">
        <w:rPr>
          <w:rFonts w:ascii="Times New Roman" w:hAnsi="Times New Roman" w:cs="Times New Roman"/>
          <w:sz w:val="24"/>
          <w:szCs w:val="24"/>
          <w:lang w:eastAsia="zh-CN"/>
        </w:rPr>
        <w:t>.</w:t>
      </w:r>
      <w:r w:rsidR="0007692F">
        <w:rPr>
          <w:rFonts w:ascii="Times New Roman" w:hAnsi="Times New Roman" w:cs="Times New Roman"/>
          <w:sz w:val="24"/>
          <w:szCs w:val="24"/>
          <w:lang w:eastAsia="zh-CN"/>
        </w:rPr>
        <w:t>10</w:t>
      </w:r>
      <w:r w:rsidR="00FE0994" w:rsidRPr="000837AE">
        <w:rPr>
          <w:rFonts w:ascii="Times New Roman" w:hAnsi="Times New Roman" w:cs="Times New Roman"/>
          <w:sz w:val="24"/>
          <w:szCs w:val="24"/>
          <w:lang w:eastAsia="zh-CN"/>
        </w:rPr>
        <w:t>.</w:t>
      </w:r>
      <w:r w:rsidR="001A6081" w:rsidRPr="000837AE">
        <w:rPr>
          <w:rFonts w:ascii="Times New Roman" w:hAnsi="Times New Roman" w:cs="Times New Roman"/>
          <w:sz w:val="24"/>
          <w:szCs w:val="24"/>
          <w:lang w:eastAsia="zh-CN"/>
        </w:rPr>
        <w:t>202</w:t>
      </w:r>
      <w:r w:rsidR="00EA2051">
        <w:rPr>
          <w:rFonts w:ascii="Times New Roman" w:hAnsi="Times New Roman" w:cs="Times New Roman"/>
          <w:sz w:val="24"/>
          <w:szCs w:val="24"/>
          <w:lang w:val="en-US" w:eastAsia="zh-CN"/>
        </w:rPr>
        <w:t>4</w:t>
      </w:r>
      <w:r w:rsidR="001A6081" w:rsidRPr="000837AE">
        <w:rPr>
          <w:rFonts w:ascii="Times New Roman" w:hAnsi="Times New Roman" w:cs="Times New Roman"/>
          <w:sz w:val="24"/>
          <w:szCs w:val="24"/>
          <w:lang w:eastAsia="zh-CN"/>
        </w:rPr>
        <w:t xml:space="preserve"> г</w:t>
      </w:r>
      <w:r w:rsidR="00034634">
        <w:rPr>
          <w:rFonts w:ascii="Times New Roman" w:hAnsi="Times New Roman" w:cs="Times New Roman"/>
          <w:sz w:val="24"/>
          <w:szCs w:val="24"/>
          <w:lang w:eastAsia="zh-CN"/>
        </w:rPr>
        <w:t>.</w:t>
      </w:r>
      <w:r w:rsidR="00B47F66" w:rsidRPr="000837AE">
        <w:rPr>
          <w:rFonts w:ascii="Times New Roman" w:hAnsi="Times New Roman" w:cs="Times New Roman"/>
          <w:b/>
          <w:sz w:val="24"/>
          <w:szCs w:val="24"/>
          <w:lang w:eastAsia="zh-CN"/>
        </w:rPr>
        <w:tab/>
      </w:r>
      <w:r w:rsidR="001A6081" w:rsidRPr="000837AE">
        <w:rPr>
          <w:rFonts w:ascii="Times New Roman" w:hAnsi="Times New Roman" w:cs="Times New Roman"/>
          <w:b/>
          <w:sz w:val="24"/>
          <w:szCs w:val="24"/>
          <w:lang w:eastAsia="zh-CN"/>
        </w:rPr>
        <w:t>Управител:</w:t>
      </w:r>
    </w:p>
    <w:p w14:paraId="5F1CF5CC" w14:textId="70754883" w:rsidR="00532CB4" w:rsidRPr="000837AE" w:rsidRDefault="001A6081" w:rsidP="00B47F66">
      <w:pPr>
        <w:tabs>
          <w:tab w:val="left" w:pos="6237"/>
        </w:tabs>
        <w:suppressAutoHyphens/>
        <w:autoSpaceDE w:val="0"/>
        <w:jc w:val="both"/>
        <w:rPr>
          <w:rFonts w:ascii="Times New Roman" w:hAnsi="Times New Roman" w:cs="Times New Roman"/>
          <w:b/>
          <w:sz w:val="24"/>
          <w:szCs w:val="24"/>
          <w:lang w:eastAsia="zh-CN"/>
        </w:rPr>
      </w:pPr>
      <w:r w:rsidRPr="000837AE">
        <w:rPr>
          <w:rFonts w:ascii="Times New Roman" w:hAnsi="Times New Roman" w:cs="Times New Roman"/>
          <w:sz w:val="24"/>
          <w:szCs w:val="24"/>
          <w:lang w:eastAsia="zh-CN"/>
        </w:rPr>
        <w:t>Нареченски бани</w:t>
      </w:r>
      <w:r w:rsidR="00B47F66" w:rsidRPr="000837AE">
        <w:rPr>
          <w:rFonts w:ascii="Times New Roman" w:hAnsi="Times New Roman" w:cs="Times New Roman"/>
          <w:b/>
          <w:sz w:val="24"/>
          <w:szCs w:val="24"/>
          <w:lang w:eastAsia="zh-CN"/>
        </w:rPr>
        <w:tab/>
      </w:r>
      <w:r w:rsidRPr="000837AE">
        <w:rPr>
          <w:rFonts w:ascii="Times New Roman" w:hAnsi="Times New Roman" w:cs="Times New Roman"/>
          <w:b/>
          <w:sz w:val="24"/>
          <w:szCs w:val="24"/>
          <w:lang w:eastAsia="zh-CN"/>
        </w:rPr>
        <w:t>Д-р Атанас Тилев</w:t>
      </w:r>
    </w:p>
    <w:sectPr w:rsidR="00532CB4" w:rsidRPr="000837AE" w:rsidSect="008838B5">
      <w:footerReference w:type="default" r:id="rId28"/>
      <w:pgSz w:w="11906" w:h="16838" w:code="9"/>
      <w:pgMar w:top="1418" w:right="707" w:bottom="851" w:left="1021" w:header="720"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C8017" w14:textId="77777777" w:rsidR="007F1FC5" w:rsidRDefault="007F1FC5" w:rsidP="00290123">
      <w:pPr>
        <w:spacing w:after="0" w:line="240" w:lineRule="auto"/>
      </w:pPr>
      <w:r>
        <w:separator/>
      </w:r>
    </w:p>
  </w:endnote>
  <w:endnote w:type="continuationSeparator" w:id="0">
    <w:p w14:paraId="432B5A70" w14:textId="77777777" w:rsidR="007F1FC5" w:rsidRDefault="007F1FC5" w:rsidP="00290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0897552"/>
      <w:docPartObj>
        <w:docPartGallery w:val="Page Numbers (Bottom of Page)"/>
        <w:docPartUnique/>
      </w:docPartObj>
    </w:sdtPr>
    <w:sdtEndPr>
      <w:rPr>
        <w:rFonts w:ascii="Times New Roman" w:hAnsi="Times New Roman" w:cs="Times New Roman"/>
        <w:noProof/>
        <w:sz w:val="18"/>
      </w:rPr>
    </w:sdtEndPr>
    <w:sdtContent>
      <w:p w14:paraId="68A81B4C" w14:textId="77777777" w:rsidR="008838B5" w:rsidRDefault="008838B5">
        <w:pPr>
          <w:pStyle w:val="a8"/>
          <w:jc w:val="center"/>
        </w:pPr>
      </w:p>
      <w:p w14:paraId="235A9B6F" w14:textId="7EDC68A9" w:rsidR="007F1FC5" w:rsidRPr="008E4056" w:rsidRDefault="007F1FC5">
        <w:pPr>
          <w:pStyle w:val="a8"/>
          <w:jc w:val="center"/>
          <w:rPr>
            <w:rFonts w:ascii="Times New Roman" w:hAnsi="Times New Roman" w:cs="Times New Roman"/>
            <w:sz w:val="18"/>
          </w:rPr>
        </w:pPr>
        <w:r w:rsidRPr="008E4056">
          <w:rPr>
            <w:rFonts w:ascii="Times New Roman" w:hAnsi="Times New Roman" w:cs="Times New Roman"/>
            <w:sz w:val="18"/>
          </w:rPr>
          <w:fldChar w:fldCharType="begin"/>
        </w:r>
        <w:r w:rsidRPr="008E4056">
          <w:rPr>
            <w:rFonts w:ascii="Times New Roman" w:hAnsi="Times New Roman" w:cs="Times New Roman"/>
            <w:sz w:val="18"/>
          </w:rPr>
          <w:instrText xml:space="preserve"> PAGE   \* MERGEFORMAT </w:instrText>
        </w:r>
        <w:r w:rsidRPr="008E4056">
          <w:rPr>
            <w:rFonts w:ascii="Times New Roman" w:hAnsi="Times New Roman" w:cs="Times New Roman"/>
            <w:sz w:val="18"/>
          </w:rPr>
          <w:fldChar w:fldCharType="separate"/>
        </w:r>
        <w:r w:rsidR="00CB0CAD">
          <w:rPr>
            <w:rFonts w:ascii="Times New Roman" w:hAnsi="Times New Roman" w:cs="Times New Roman"/>
            <w:noProof/>
            <w:sz w:val="18"/>
          </w:rPr>
          <w:t>2</w:t>
        </w:r>
        <w:r w:rsidRPr="008E4056">
          <w:rPr>
            <w:rFonts w:ascii="Times New Roman" w:hAnsi="Times New Roman" w:cs="Times New Roman"/>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ADFE2" w14:textId="77777777" w:rsidR="007F1FC5" w:rsidRDefault="007F1FC5" w:rsidP="00290123">
      <w:pPr>
        <w:spacing w:after="0" w:line="240" w:lineRule="auto"/>
      </w:pPr>
      <w:r>
        <w:separator/>
      </w:r>
    </w:p>
  </w:footnote>
  <w:footnote w:type="continuationSeparator" w:id="0">
    <w:p w14:paraId="3B03708E" w14:textId="77777777" w:rsidR="007F1FC5" w:rsidRDefault="007F1FC5" w:rsidP="00290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639CB"/>
    <w:multiLevelType w:val="hybridMultilevel"/>
    <w:tmpl w:val="B9AEF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E672D6E"/>
    <w:multiLevelType w:val="hybridMultilevel"/>
    <w:tmpl w:val="33DE2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742B8"/>
    <w:multiLevelType w:val="hybridMultilevel"/>
    <w:tmpl w:val="3BCEA998"/>
    <w:lvl w:ilvl="0" w:tplc="0E7CF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03CC6"/>
    <w:multiLevelType w:val="hybridMultilevel"/>
    <w:tmpl w:val="0D0CE486"/>
    <w:lvl w:ilvl="0" w:tplc="1D409A7C">
      <w:start w:val="1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47A41AF"/>
    <w:multiLevelType w:val="hybridMultilevel"/>
    <w:tmpl w:val="54942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493478"/>
    <w:multiLevelType w:val="hybridMultilevel"/>
    <w:tmpl w:val="2E3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327A5"/>
    <w:multiLevelType w:val="hybridMultilevel"/>
    <w:tmpl w:val="FF7E21A2"/>
    <w:lvl w:ilvl="0" w:tplc="9D9C1644">
      <w:start w:val="1"/>
      <w:numFmt w:val="decimal"/>
      <w:lvlText w:val="%1."/>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0A46E6F"/>
    <w:multiLevelType w:val="hybridMultilevel"/>
    <w:tmpl w:val="79960D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1027DCF"/>
    <w:multiLevelType w:val="hybridMultilevel"/>
    <w:tmpl w:val="87F89FC0"/>
    <w:lvl w:ilvl="0" w:tplc="06705C44">
      <w:numFmt w:val="bullet"/>
      <w:lvlText w:val="-"/>
      <w:lvlJc w:val="left"/>
      <w:pPr>
        <w:tabs>
          <w:tab w:val="num" w:pos="1428"/>
        </w:tabs>
        <w:ind w:left="1428" w:hanging="360"/>
      </w:pPr>
      <w:rPr>
        <w:rFonts w:ascii="Times New Roman" w:eastAsia="Times New Roman" w:hAnsi="Times New Roman" w:cs="Times New Roman" w:hint="default"/>
      </w:rPr>
    </w:lvl>
    <w:lvl w:ilvl="1" w:tplc="04020001">
      <w:start w:val="1"/>
      <w:numFmt w:val="bullet"/>
      <w:lvlText w:val=""/>
      <w:lvlJc w:val="left"/>
      <w:pPr>
        <w:tabs>
          <w:tab w:val="num" w:pos="2148"/>
        </w:tabs>
        <w:ind w:left="2148" w:hanging="360"/>
      </w:pPr>
      <w:rPr>
        <w:rFonts w:ascii="Symbol" w:hAnsi="Symbol"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9B377B3"/>
    <w:multiLevelType w:val="hybridMultilevel"/>
    <w:tmpl w:val="7F848C2A"/>
    <w:lvl w:ilvl="0" w:tplc="21481D2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1431A3E"/>
    <w:multiLevelType w:val="hybridMultilevel"/>
    <w:tmpl w:val="50A4FC46"/>
    <w:lvl w:ilvl="0" w:tplc="2CBEDB5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34BD65F6"/>
    <w:multiLevelType w:val="hybridMultilevel"/>
    <w:tmpl w:val="0A1C341A"/>
    <w:lvl w:ilvl="0" w:tplc="C02AADA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2" w15:restartNumberingAfterBreak="0">
    <w:nsid w:val="46BC6D08"/>
    <w:multiLevelType w:val="hybridMultilevel"/>
    <w:tmpl w:val="1C240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D2103"/>
    <w:multiLevelType w:val="hybridMultilevel"/>
    <w:tmpl w:val="63C62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E40BD9"/>
    <w:multiLevelType w:val="hybridMultilevel"/>
    <w:tmpl w:val="505C5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1CF4C00"/>
    <w:multiLevelType w:val="multilevel"/>
    <w:tmpl w:val="21FAF1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24530"/>
    <w:multiLevelType w:val="hybridMultilevel"/>
    <w:tmpl w:val="E732F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9722441"/>
    <w:multiLevelType w:val="multilevel"/>
    <w:tmpl w:val="1AB0490C"/>
    <w:lvl w:ilvl="0">
      <w:start w:val="2"/>
      <w:numFmt w:val="decimal"/>
      <w:lvlText w:val="%1"/>
      <w:lvlJc w:val="left"/>
      <w:pPr>
        <w:ind w:left="360" w:hanging="360"/>
      </w:pPr>
      <w:rPr>
        <w:rFonts w:eastAsia="MS Mincho" w:hint="default"/>
        <w:b/>
      </w:rPr>
    </w:lvl>
    <w:lvl w:ilvl="1">
      <w:start w:val="1"/>
      <w:numFmt w:val="decimal"/>
      <w:lvlText w:val="%1.%2"/>
      <w:lvlJc w:val="left"/>
      <w:pPr>
        <w:ind w:left="1080" w:hanging="360"/>
      </w:pPr>
      <w:rPr>
        <w:rFonts w:eastAsia="MS Mincho" w:hint="default"/>
        <w:b/>
      </w:rPr>
    </w:lvl>
    <w:lvl w:ilvl="2">
      <w:start w:val="1"/>
      <w:numFmt w:val="decimal"/>
      <w:lvlText w:val="%1.%2.%3"/>
      <w:lvlJc w:val="left"/>
      <w:pPr>
        <w:ind w:left="2160" w:hanging="720"/>
      </w:pPr>
      <w:rPr>
        <w:rFonts w:eastAsia="MS Mincho" w:hint="default"/>
        <w:b/>
      </w:rPr>
    </w:lvl>
    <w:lvl w:ilvl="3">
      <w:start w:val="1"/>
      <w:numFmt w:val="decimal"/>
      <w:lvlText w:val="%1.%2.%3.%4"/>
      <w:lvlJc w:val="left"/>
      <w:pPr>
        <w:ind w:left="2880" w:hanging="720"/>
      </w:pPr>
      <w:rPr>
        <w:rFonts w:eastAsia="MS Mincho" w:hint="default"/>
        <w:b/>
      </w:rPr>
    </w:lvl>
    <w:lvl w:ilvl="4">
      <w:start w:val="1"/>
      <w:numFmt w:val="decimal"/>
      <w:lvlText w:val="%1.%2.%3.%4.%5"/>
      <w:lvlJc w:val="left"/>
      <w:pPr>
        <w:ind w:left="3960" w:hanging="1080"/>
      </w:pPr>
      <w:rPr>
        <w:rFonts w:eastAsia="MS Mincho" w:hint="default"/>
        <w:b/>
      </w:rPr>
    </w:lvl>
    <w:lvl w:ilvl="5">
      <w:start w:val="1"/>
      <w:numFmt w:val="decimal"/>
      <w:lvlText w:val="%1.%2.%3.%4.%5.%6"/>
      <w:lvlJc w:val="left"/>
      <w:pPr>
        <w:ind w:left="4680" w:hanging="1080"/>
      </w:pPr>
      <w:rPr>
        <w:rFonts w:eastAsia="MS Mincho" w:hint="default"/>
        <w:b/>
      </w:rPr>
    </w:lvl>
    <w:lvl w:ilvl="6">
      <w:start w:val="1"/>
      <w:numFmt w:val="decimal"/>
      <w:lvlText w:val="%1.%2.%3.%4.%5.%6.%7"/>
      <w:lvlJc w:val="left"/>
      <w:pPr>
        <w:ind w:left="5760" w:hanging="1440"/>
      </w:pPr>
      <w:rPr>
        <w:rFonts w:eastAsia="MS Mincho" w:hint="default"/>
        <w:b/>
      </w:rPr>
    </w:lvl>
    <w:lvl w:ilvl="7">
      <w:start w:val="1"/>
      <w:numFmt w:val="decimal"/>
      <w:lvlText w:val="%1.%2.%3.%4.%5.%6.%7.%8"/>
      <w:lvlJc w:val="left"/>
      <w:pPr>
        <w:ind w:left="6480" w:hanging="1440"/>
      </w:pPr>
      <w:rPr>
        <w:rFonts w:eastAsia="MS Mincho" w:hint="default"/>
        <w:b/>
      </w:rPr>
    </w:lvl>
    <w:lvl w:ilvl="8">
      <w:start w:val="1"/>
      <w:numFmt w:val="decimal"/>
      <w:lvlText w:val="%1.%2.%3.%4.%5.%6.%7.%8.%9"/>
      <w:lvlJc w:val="left"/>
      <w:pPr>
        <w:ind w:left="7560" w:hanging="1800"/>
      </w:pPr>
      <w:rPr>
        <w:rFonts w:eastAsia="MS Mincho" w:hint="default"/>
        <w:b/>
      </w:rPr>
    </w:lvl>
  </w:abstractNum>
  <w:abstractNum w:abstractNumId="18" w15:restartNumberingAfterBreak="0">
    <w:nsid w:val="5D455FE8"/>
    <w:multiLevelType w:val="hybridMultilevel"/>
    <w:tmpl w:val="2C2E28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FAF7D31"/>
    <w:multiLevelType w:val="hybridMultilevel"/>
    <w:tmpl w:val="18F02A9A"/>
    <w:lvl w:ilvl="0" w:tplc="0402000F">
      <w:start w:val="1"/>
      <w:numFmt w:val="decimal"/>
      <w:lvlText w:val="%1."/>
      <w:lvlJc w:val="left"/>
      <w:pPr>
        <w:tabs>
          <w:tab w:val="num" w:pos="1702"/>
        </w:tabs>
        <w:ind w:left="1702" w:hanging="567"/>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715DCB"/>
    <w:multiLevelType w:val="hybridMultilevel"/>
    <w:tmpl w:val="1EA4C56C"/>
    <w:lvl w:ilvl="0" w:tplc="C456BA56">
      <w:start w:val="1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cs="Wingdings" w:hint="default"/>
      </w:rPr>
    </w:lvl>
    <w:lvl w:ilvl="3" w:tplc="04020001" w:tentative="1">
      <w:start w:val="1"/>
      <w:numFmt w:val="bullet"/>
      <w:lvlText w:val=""/>
      <w:lvlJc w:val="left"/>
      <w:pPr>
        <w:ind w:left="3240" w:hanging="360"/>
      </w:pPr>
      <w:rPr>
        <w:rFonts w:ascii="Symbol" w:hAnsi="Symbol" w:cs="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cs="Wingdings" w:hint="default"/>
      </w:rPr>
    </w:lvl>
    <w:lvl w:ilvl="6" w:tplc="04020001" w:tentative="1">
      <w:start w:val="1"/>
      <w:numFmt w:val="bullet"/>
      <w:lvlText w:val=""/>
      <w:lvlJc w:val="left"/>
      <w:pPr>
        <w:ind w:left="5400" w:hanging="360"/>
      </w:pPr>
      <w:rPr>
        <w:rFonts w:ascii="Symbol" w:hAnsi="Symbol" w:cs="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cs="Wingdings" w:hint="default"/>
      </w:rPr>
    </w:lvl>
  </w:abstractNum>
  <w:abstractNum w:abstractNumId="21" w15:restartNumberingAfterBreak="0">
    <w:nsid w:val="79143408"/>
    <w:multiLevelType w:val="hybridMultilevel"/>
    <w:tmpl w:val="1C36B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90BCA"/>
    <w:multiLevelType w:val="hybridMultilevel"/>
    <w:tmpl w:val="5714339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16cid:durableId="1693142325">
    <w:abstractNumId w:val="3"/>
  </w:num>
  <w:num w:numId="2" w16cid:durableId="470485022">
    <w:abstractNumId w:val="20"/>
  </w:num>
  <w:num w:numId="3" w16cid:durableId="1624264712">
    <w:abstractNumId w:val="10"/>
  </w:num>
  <w:num w:numId="4" w16cid:durableId="1677537285">
    <w:abstractNumId w:val="16"/>
  </w:num>
  <w:num w:numId="5" w16cid:durableId="237517435">
    <w:abstractNumId w:val="22"/>
  </w:num>
  <w:num w:numId="6" w16cid:durableId="1607274362">
    <w:abstractNumId w:val="17"/>
  </w:num>
  <w:num w:numId="7" w16cid:durableId="728188016">
    <w:abstractNumId w:val="11"/>
  </w:num>
  <w:num w:numId="8" w16cid:durableId="980844209">
    <w:abstractNumId w:val="15"/>
  </w:num>
  <w:num w:numId="9" w16cid:durableId="1813063487">
    <w:abstractNumId w:val="6"/>
  </w:num>
  <w:num w:numId="10" w16cid:durableId="26956477">
    <w:abstractNumId w:val="13"/>
  </w:num>
  <w:num w:numId="11" w16cid:durableId="1237975878">
    <w:abstractNumId w:val="14"/>
  </w:num>
  <w:num w:numId="12" w16cid:durableId="160856991">
    <w:abstractNumId w:val="18"/>
  </w:num>
  <w:num w:numId="13" w16cid:durableId="618681297">
    <w:abstractNumId w:val="4"/>
  </w:num>
  <w:num w:numId="14" w16cid:durableId="1651865316">
    <w:abstractNumId w:val="19"/>
  </w:num>
  <w:num w:numId="15" w16cid:durableId="1031759828">
    <w:abstractNumId w:val="0"/>
  </w:num>
  <w:num w:numId="16" w16cid:durableId="510459943">
    <w:abstractNumId w:val="7"/>
  </w:num>
  <w:num w:numId="17" w16cid:durableId="2091342106">
    <w:abstractNumId w:val="21"/>
  </w:num>
  <w:num w:numId="18" w16cid:durableId="1328748560">
    <w:abstractNumId w:val="5"/>
  </w:num>
  <w:num w:numId="19" w16cid:durableId="1629242348">
    <w:abstractNumId w:val="1"/>
  </w:num>
  <w:num w:numId="20" w16cid:durableId="1302030342">
    <w:abstractNumId w:val="2"/>
  </w:num>
  <w:num w:numId="21" w16cid:durableId="706563404">
    <w:abstractNumId w:val="8"/>
  </w:num>
  <w:num w:numId="22" w16cid:durableId="11420457">
    <w:abstractNumId w:val="12"/>
  </w:num>
  <w:num w:numId="23" w16cid:durableId="18344458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autoHyphenation/>
  <w:hyphenationZone w:val="425"/>
  <w:drawingGridHorizontalSpacing w:val="10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C4A"/>
    <w:rsid w:val="00013DA8"/>
    <w:rsid w:val="00017474"/>
    <w:rsid w:val="00023813"/>
    <w:rsid w:val="00027FF2"/>
    <w:rsid w:val="00034634"/>
    <w:rsid w:val="00036E15"/>
    <w:rsid w:val="00042447"/>
    <w:rsid w:val="00053C09"/>
    <w:rsid w:val="0007692F"/>
    <w:rsid w:val="000837AE"/>
    <w:rsid w:val="0008428B"/>
    <w:rsid w:val="00093254"/>
    <w:rsid w:val="000B2A65"/>
    <w:rsid w:val="000B42FF"/>
    <w:rsid w:val="000C00EA"/>
    <w:rsid w:val="000C6B6E"/>
    <w:rsid w:val="000C7AC2"/>
    <w:rsid w:val="000D38BC"/>
    <w:rsid w:val="000E0879"/>
    <w:rsid w:val="000E7E2E"/>
    <w:rsid w:val="0010392F"/>
    <w:rsid w:val="001063DF"/>
    <w:rsid w:val="00114B77"/>
    <w:rsid w:val="001345D0"/>
    <w:rsid w:val="001513BC"/>
    <w:rsid w:val="001650FB"/>
    <w:rsid w:val="001810BF"/>
    <w:rsid w:val="00181947"/>
    <w:rsid w:val="0018511C"/>
    <w:rsid w:val="001913C3"/>
    <w:rsid w:val="001939FA"/>
    <w:rsid w:val="001A5F79"/>
    <w:rsid w:val="001A6081"/>
    <w:rsid w:val="001D3DB5"/>
    <w:rsid w:val="001E222F"/>
    <w:rsid w:val="001E4445"/>
    <w:rsid w:val="001E4950"/>
    <w:rsid w:val="001E72F0"/>
    <w:rsid w:val="0020109B"/>
    <w:rsid w:val="00206C2E"/>
    <w:rsid w:val="00211D3B"/>
    <w:rsid w:val="00216CEB"/>
    <w:rsid w:val="00233262"/>
    <w:rsid w:val="00236252"/>
    <w:rsid w:val="00243BDC"/>
    <w:rsid w:val="00263465"/>
    <w:rsid w:val="00263E31"/>
    <w:rsid w:val="002651A6"/>
    <w:rsid w:val="002706B5"/>
    <w:rsid w:val="002809D7"/>
    <w:rsid w:val="00281443"/>
    <w:rsid w:val="00290123"/>
    <w:rsid w:val="00290193"/>
    <w:rsid w:val="002A10E2"/>
    <w:rsid w:val="002A5768"/>
    <w:rsid w:val="002A57DE"/>
    <w:rsid w:val="002A5F46"/>
    <w:rsid w:val="002A74EA"/>
    <w:rsid w:val="002C1151"/>
    <w:rsid w:val="002C5337"/>
    <w:rsid w:val="002F7DCF"/>
    <w:rsid w:val="003031B1"/>
    <w:rsid w:val="0030355D"/>
    <w:rsid w:val="00304D1E"/>
    <w:rsid w:val="0031070E"/>
    <w:rsid w:val="00326A6C"/>
    <w:rsid w:val="00333006"/>
    <w:rsid w:val="00333421"/>
    <w:rsid w:val="00341150"/>
    <w:rsid w:val="00343875"/>
    <w:rsid w:val="00354283"/>
    <w:rsid w:val="0036129C"/>
    <w:rsid w:val="003632CB"/>
    <w:rsid w:val="0038285C"/>
    <w:rsid w:val="003832D0"/>
    <w:rsid w:val="00391792"/>
    <w:rsid w:val="003B5EAC"/>
    <w:rsid w:val="003C0168"/>
    <w:rsid w:val="003E3548"/>
    <w:rsid w:val="003F6011"/>
    <w:rsid w:val="003F71BD"/>
    <w:rsid w:val="00402A1A"/>
    <w:rsid w:val="00420430"/>
    <w:rsid w:val="00435589"/>
    <w:rsid w:val="0044112E"/>
    <w:rsid w:val="00450950"/>
    <w:rsid w:val="0045536A"/>
    <w:rsid w:val="0046746B"/>
    <w:rsid w:val="004A75F4"/>
    <w:rsid w:val="005232C1"/>
    <w:rsid w:val="0053048A"/>
    <w:rsid w:val="00532CB4"/>
    <w:rsid w:val="005416D7"/>
    <w:rsid w:val="00562236"/>
    <w:rsid w:val="00571FC8"/>
    <w:rsid w:val="00585295"/>
    <w:rsid w:val="00585B21"/>
    <w:rsid w:val="00590F9E"/>
    <w:rsid w:val="00593819"/>
    <w:rsid w:val="005A4CD7"/>
    <w:rsid w:val="005A698B"/>
    <w:rsid w:val="005C0513"/>
    <w:rsid w:val="00605C05"/>
    <w:rsid w:val="006165CF"/>
    <w:rsid w:val="00627648"/>
    <w:rsid w:val="00636465"/>
    <w:rsid w:val="00643E57"/>
    <w:rsid w:val="0065185F"/>
    <w:rsid w:val="0065659A"/>
    <w:rsid w:val="00662A1C"/>
    <w:rsid w:val="006661EA"/>
    <w:rsid w:val="006829BC"/>
    <w:rsid w:val="00685556"/>
    <w:rsid w:val="00691B50"/>
    <w:rsid w:val="006A06BF"/>
    <w:rsid w:val="006A68AC"/>
    <w:rsid w:val="006C4788"/>
    <w:rsid w:val="006E0F13"/>
    <w:rsid w:val="006E47D0"/>
    <w:rsid w:val="006E7585"/>
    <w:rsid w:val="006F3432"/>
    <w:rsid w:val="006F6178"/>
    <w:rsid w:val="00707331"/>
    <w:rsid w:val="00737377"/>
    <w:rsid w:val="0074337A"/>
    <w:rsid w:val="00744A3E"/>
    <w:rsid w:val="007465BD"/>
    <w:rsid w:val="007713FC"/>
    <w:rsid w:val="00774924"/>
    <w:rsid w:val="00782C10"/>
    <w:rsid w:val="00782EA5"/>
    <w:rsid w:val="00793BD9"/>
    <w:rsid w:val="007952B0"/>
    <w:rsid w:val="00796DBE"/>
    <w:rsid w:val="007D066E"/>
    <w:rsid w:val="007E0168"/>
    <w:rsid w:val="007E1A01"/>
    <w:rsid w:val="007F1FC5"/>
    <w:rsid w:val="00811E1F"/>
    <w:rsid w:val="00824A62"/>
    <w:rsid w:val="00830DDC"/>
    <w:rsid w:val="00853F1B"/>
    <w:rsid w:val="00865EA8"/>
    <w:rsid w:val="0086670E"/>
    <w:rsid w:val="00872A2A"/>
    <w:rsid w:val="00872EBE"/>
    <w:rsid w:val="00881E03"/>
    <w:rsid w:val="00882CCF"/>
    <w:rsid w:val="008838B5"/>
    <w:rsid w:val="00895556"/>
    <w:rsid w:val="008B4EB4"/>
    <w:rsid w:val="008E4056"/>
    <w:rsid w:val="008E5A98"/>
    <w:rsid w:val="008F2A91"/>
    <w:rsid w:val="0090095D"/>
    <w:rsid w:val="00900B3D"/>
    <w:rsid w:val="009015B6"/>
    <w:rsid w:val="00911E91"/>
    <w:rsid w:val="00914E50"/>
    <w:rsid w:val="00925C4A"/>
    <w:rsid w:val="0092722F"/>
    <w:rsid w:val="00932602"/>
    <w:rsid w:val="00935284"/>
    <w:rsid w:val="009356D7"/>
    <w:rsid w:val="00943E1F"/>
    <w:rsid w:val="00952D0C"/>
    <w:rsid w:val="0096160C"/>
    <w:rsid w:val="00986EA7"/>
    <w:rsid w:val="009874D8"/>
    <w:rsid w:val="009A3E90"/>
    <w:rsid w:val="009A6548"/>
    <w:rsid w:val="009B36DC"/>
    <w:rsid w:val="009B6C3E"/>
    <w:rsid w:val="009D4335"/>
    <w:rsid w:val="009D79C3"/>
    <w:rsid w:val="009F4CC4"/>
    <w:rsid w:val="00A00B0F"/>
    <w:rsid w:val="00A16894"/>
    <w:rsid w:val="00A27687"/>
    <w:rsid w:val="00A35405"/>
    <w:rsid w:val="00A37CC3"/>
    <w:rsid w:val="00A4610E"/>
    <w:rsid w:val="00A75659"/>
    <w:rsid w:val="00A9278C"/>
    <w:rsid w:val="00A962C2"/>
    <w:rsid w:val="00AA60B8"/>
    <w:rsid w:val="00AB0378"/>
    <w:rsid w:val="00AC7E4E"/>
    <w:rsid w:val="00AD25DD"/>
    <w:rsid w:val="00AD4A06"/>
    <w:rsid w:val="00AE1D2E"/>
    <w:rsid w:val="00AF032F"/>
    <w:rsid w:val="00B20B48"/>
    <w:rsid w:val="00B47F66"/>
    <w:rsid w:val="00B60F50"/>
    <w:rsid w:val="00B61724"/>
    <w:rsid w:val="00B66E36"/>
    <w:rsid w:val="00B93B73"/>
    <w:rsid w:val="00B96251"/>
    <w:rsid w:val="00BA277C"/>
    <w:rsid w:val="00BA4AE7"/>
    <w:rsid w:val="00BB70E2"/>
    <w:rsid w:val="00BD20EC"/>
    <w:rsid w:val="00BD335A"/>
    <w:rsid w:val="00BE5363"/>
    <w:rsid w:val="00BF21C2"/>
    <w:rsid w:val="00BF3EF5"/>
    <w:rsid w:val="00C067CA"/>
    <w:rsid w:val="00C100CE"/>
    <w:rsid w:val="00C10203"/>
    <w:rsid w:val="00C10E02"/>
    <w:rsid w:val="00C21F8E"/>
    <w:rsid w:val="00C545D4"/>
    <w:rsid w:val="00C62535"/>
    <w:rsid w:val="00C638F1"/>
    <w:rsid w:val="00C65A3E"/>
    <w:rsid w:val="00C86A32"/>
    <w:rsid w:val="00C9565B"/>
    <w:rsid w:val="00C95E86"/>
    <w:rsid w:val="00C97AA2"/>
    <w:rsid w:val="00CB0CAD"/>
    <w:rsid w:val="00CC6440"/>
    <w:rsid w:val="00CF137D"/>
    <w:rsid w:val="00CF2724"/>
    <w:rsid w:val="00CF44BC"/>
    <w:rsid w:val="00D03C55"/>
    <w:rsid w:val="00D220DE"/>
    <w:rsid w:val="00D22B00"/>
    <w:rsid w:val="00D32CF6"/>
    <w:rsid w:val="00D61EAF"/>
    <w:rsid w:val="00D64C96"/>
    <w:rsid w:val="00D73BF3"/>
    <w:rsid w:val="00D83F75"/>
    <w:rsid w:val="00D849BB"/>
    <w:rsid w:val="00D92553"/>
    <w:rsid w:val="00DE5297"/>
    <w:rsid w:val="00E01CFD"/>
    <w:rsid w:val="00E02E3A"/>
    <w:rsid w:val="00E12539"/>
    <w:rsid w:val="00E1591E"/>
    <w:rsid w:val="00E35146"/>
    <w:rsid w:val="00E40FAA"/>
    <w:rsid w:val="00E44CC4"/>
    <w:rsid w:val="00E4610F"/>
    <w:rsid w:val="00E51262"/>
    <w:rsid w:val="00E53E49"/>
    <w:rsid w:val="00E80B40"/>
    <w:rsid w:val="00E96747"/>
    <w:rsid w:val="00E973DC"/>
    <w:rsid w:val="00EA2051"/>
    <w:rsid w:val="00EB0722"/>
    <w:rsid w:val="00EB1422"/>
    <w:rsid w:val="00EE44A3"/>
    <w:rsid w:val="00EF29D0"/>
    <w:rsid w:val="00F0415A"/>
    <w:rsid w:val="00F104DE"/>
    <w:rsid w:val="00F12350"/>
    <w:rsid w:val="00F27B2D"/>
    <w:rsid w:val="00F621A4"/>
    <w:rsid w:val="00F759A1"/>
    <w:rsid w:val="00F80D7A"/>
    <w:rsid w:val="00F81A03"/>
    <w:rsid w:val="00F84A95"/>
    <w:rsid w:val="00FD1F17"/>
    <w:rsid w:val="00FE0994"/>
    <w:rsid w:val="00FE3809"/>
    <w:rsid w:val="00FE3B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3A3386"/>
  <w15:docId w15:val="{9736DA4A-2B3F-4EA9-8888-6C1CC5F5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9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5C4A"/>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925C4A"/>
    <w:rPr>
      <w:rFonts w:ascii="Tahoma" w:hAnsi="Tahoma" w:cs="Tahoma"/>
      <w:sz w:val="16"/>
      <w:szCs w:val="16"/>
    </w:rPr>
  </w:style>
  <w:style w:type="paragraph" w:styleId="a5">
    <w:name w:val="List Paragraph"/>
    <w:basedOn w:val="a"/>
    <w:uiPriority w:val="34"/>
    <w:qFormat/>
    <w:rsid w:val="00C100CE"/>
    <w:pPr>
      <w:ind w:left="720"/>
      <w:contextualSpacing/>
    </w:pPr>
  </w:style>
  <w:style w:type="paragraph" w:styleId="a6">
    <w:name w:val="header"/>
    <w:basedOn w:val="a"/>
    <w:link w:val="a7"/>
    <w:uiPriority w:val="99"/>
    <w:unhideWhenUsed/>
    <w:rsid w:val="00290123"/>
    <w:pPr>
      <w:tabs>
        <w:tab w:val="center" w:pos="4536"/>
        <w:tab w:val="right" w:pos="9072"/>
      </w:tabs>
      <w:spacing w:after="0" w:line="240" w:lineRule="auto"/>
    </w:pPr>
  </w:style>
  <w:style w:type="character" w:customStyle="1" w:styleId="a7">
    <w:name w:val="Горен колонтитул Знак"/>
    <w:basedOn w:val="a0"/>
    <w:link w:val="a6"/>
    <w:uiPriority w:val="99"/>
    <w:rsid w:val="00290123"/>
  </w:style>
  <w:style w:type="paragraph" w:styleId="a8">
    <w:name w:val="footer"/>
    <w:basedOn w:val="a"/>
    <w:link w:val="a9"/>
    <w:uiPriority w:val="99"/>
    <w:unhideWhenUsed/>
    <w:rsid w:val="00290123"/>
    <w:pPr>
      <w:tabs>
        <w:tab w:val="center" w:pos="4536"/>
        <w:tab w:val="right" w:pos="9072"/>
      </w:tabs>
      <w:spacing w:after="0" w:line="240" w:lineRule="auto"/>
    </w:pPr>
  </w:style>
  <w:style w:type="character" w:customStyle="1" w:styleId="a9">
    <w:name w:val="Долен колонтитул Знак"/>
    <w:basedOn w:val="a0"/>
    <w:link w:val="a8"/>
    <w:uiPriority w:val="99"/>
    <w:rsid w:val="00290123"/>
  </w:style>
  <w:style w:type="paragraph" w:customStyle="1" w:styleId="firstline">
    <w:name w:val="firstline"/>
    <w:basedOn w:val="a"/>
    <w:rsid w:val="00774924"/>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aa">
    <w:name w:val="Body Text"/>
    <w:basedOn w:val="a"/>
    <w:link w:val="ab"/>
    <w:rsid w:val="00333421"/>
    <w:pPr>
      <w:spacing w:after="0" w:line="240" w:lineRule="auto"/>
      <w:jc w:val="both"/>
    </w:pPr>
    <w:rPr>
      <w:rFonts w:ascii="Times New Roman" w:eastAsia="Times New Roman" w:hAnsi="Times New Roman" w:cs="Times New Roman"/>
      <w:b/>
      <w:bCs/>
      <w:sz w:val="32"/>
      <w:szCs w:val="20"/>
    </w:rPr>
  </w:style>
  <w:style w:type="character" w:customStyle="1" w:styleId="ab">
    <w:name w:val="Основен текст Знак"/>
    <w:basedOn w:val="a0"/>
    <w:link w:val="aa"/>
    <w:rsid w:val="00333421"/>
    <w:rPr>
      <w:rFonts w:ascii="Times New Roman" w:eastAsia="Times New Roman" w:hAnsi="Times New Roman" w:cs="Times New Roman"/>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0077">
      <w:bodyDiv w:val="1"/>
      <w:marLeft w:val="0"/>
      <w:marRight w:val="0"/>
      <w:marTop w:val="0"/>
      <w:marBottom w:val="0"/>
      <w:divBdr>
        <w:top w:val="none" w:sz="0" w:space="0" w:color="auto"/>
        <w:left w:val="none" w:sz="0" w:space="0" w:color="auto"/>
        <w:bottom w:val="none" w:sz="0" w:space="0" w:color="auto"/>
        <w:right w:val="none" w:sz="0" w:space="0" w:color="auto"/>
      </w:divBdr>
    </w:div>
    <w:div w:id="246229053">
      <w:bodyDiv w:val="1"/>
      <w:marLeft w:val="0"/>
      <w:marRight w:val="0"/>
      <w:marTop w:val="0"/>
      <w:marBottom w:val="0"/>
      <w:divBdr>
        <w:top w:val="none" w:sz="0" w:space="0" w:color="auto"/>
        <w:left w:val="none" w:sz="0" w:space="0" w:color="auto"/>
        <w:bottom w:val="none" w:sz="0" w:space="0" w:color="auto"/>
        <w:right w:val="none" w:sz="0" w:space="0" w:color="auto"/>
      </w:divBdr>
    </w:div>
    <w:div w:id="255791822">
      <w:bodyDiv w:val="1"/>
      <w:marLeft w:val="0"/>
      <w:marRight w:val="0"/>
      <w:marTop w:val="0"/>
      <w:marBottom w:val="0"/>
      <w:divBdr>
        <w:top w:val="none" w:sz="0" w:space="0" w:color="auto"/>
        <w:left w:val="none" w:sz="0" w:space="0" w:color="auto"/>
        <w:bottom w:val="none" w:sz="0" w:space="0" w:color="auto"/>
        <w:right w:val="none" w:sz="0" w:space="0" w:color="auto"/>
      </w:divBdr>
    </w:div>
    <w:div w:id="440881668">
      <w:bodyDiv w:val="1"/>
      <w:marLeft w:val="0"/>
      <w:marRight w:val="0"/>
      <w:marTop w:val="0"/>
      <w:marBottom w:val="0"/>
      <w:divBdr>
        <w:top w:val="none" w:sz="0" w:space="0" w:color="auto"/>
        <w:left w:val="none" w:sz="0" w:space="0" w:color="auto"/>
        <w:bottom w:val="none" w:sz="0" w:space="0" w:color="auto"/>
        <w:right w:val="none" w:sz="0" w:space="0" w:color="auto"/>
      </w:divBdr>
    </w:div>
    <w:div w:id="445202161">
      <w:bodyDiv w:val="1"/>
      <w:marLeft w:val="0"/>
      <w:marRight w:val="0"/>
      <w:marTop w:val="0"/>
      <w:marBottom w:val="0"/>
      <w:divBdr>
        <w:top w:val="none" w:sz="0" w:space="0" w:color="auto"/>
        <w:left w:val="none" w:sz="0" w:space="0" w:color="auto"/>
        <w:bottom w:val="none" w:sz="0" w:space="0" w:color="auto"/>
        <w:right w:val="none" w:sz="0" w:space="0" w:color="auto"/>
      </w:divBdr>
    </w:div>
    <w:div w:id="676932232">
      <w:bodyDiv w:val="1"/>
      <w:marLeft w:val="0"/>
      <w:marRight w:val="0"/>
      <w:marTop w:val="0"/>
      <w:marBottom w:val="0"/>
      <w:divBdr>
        <w:top w:val="none" w:sz="0" w:space="0" w:color="auto"/>
        <w:left w:val="none" w:sz="0" w:space="0" w:color="auto"/>
        <w:bottom w:val="none" w:sz="0" w:space="0" w:color="auto"/>
        <w:right w:val="none" w:sz="0" w:space="0" w:color="auto"/>
      </w:divBdr>
    </w:div>
    <w:div w:id="719860437">
      <w:bodyDiv w:val="1"/>
      <w:marLeft w:val="0"/>
      <w:marRight w:val="0"/>
      <w:marTop w:val="0"/>
      <w:marBottom w:val="0"/>
      <w:divBdr>
        <w:top w:val="none" w:sz="0" w:space="0" w:color="auto"/>
        <w:left w:val="none" w:sz="0" w:space="0" w:color="auto"/>
        <w:bottom w:val="none" w:sz="0" w:space="0" w:color="auto"/>
        <w:right w:val="none" w:sz="0" w:space="0" w:color="auto"/>
      </w:divBdr>
    </w:div>
    <w:div w:id="852381421">
      <w:bodyDiv w:val="1"/>
      <w:marLeft w:val="0"/>
      <w:marRight w:val="0"/>
      <w:marTop w:val="0"/>
      <w:marBottom w:val="0"/>
      <w:divBdr>
        <w:top w:val="none" w:sz="0" w:space="0" w:color="auto"/>
        <w:left w:val="none" w:sz="0" w:space="0" w:color="auto"/>
        <w:bottom w:val="none" w:sz="0" w:space="0" w:color="auto"/>
        <w:right w:val="none" w:sz="0" w:space="0" w:color="auto"/>
      </w:divBdr>
    </w:div>
    <w:div w:id="882792116">
      <w:bodyDiv w:val="1"/>
      <w:marLeft w:val="0"/>
      <w:marRight w:val="0"/>
      <w:marTop w:val="0"/>
      <w:marBottom w:val="0"/>
      <w:divBdr>
        <w:top w:val="none" w:sz="0" w:space="0" w:color="auto"/>
        <w:left w:val="none" w:sz="0" w:space="0" w:color="auto"/>
        <w:bottom w:val="none" w:sz="0" w:space="0" w:color="auto"/>
        <w:right w:val="none" w:sz="0" w:space="0" w:color="auto"/>
      </w:divBdr>
    </w:div>
    <w:div w:id="1091664612">
      <w:bodyDiv w:val="1"/>
      <w:marLeft w:val="0"/>
      <w:marRight w:val="0"/>
      <w:marTop w:val="0"/>
      <w:marBottom w:val="0"/>
      <w:divBdr>
        <w:top w:val="none" w:sz="0" w:space="0" w:color="auto"/>
        <w:left w:val="none" w:sz="0" w:space="0" w:color="auto"/>
        <w:bottom w:val="none" w:sz="0" w:space="0" w:color="auto"/>
        <w:right w:val="none" w:sz="0" w:space="0" w:color="auto"/>
      </w:divBdr>
    </w:div>
    <w:div w:id="1239558088">
      <w:bodyDiv w:val="1"/>
      <w:marLeft w:val="0"/>
      <w:marRight w:val="0"/>
      <w:marTop w:val="0"/>
      <w:marBottom w:val="0"/>
      <w:divBdr>
        <w:top w:val="none" w:sz="0" w:space="0" w:color="auto"/>
        <w:left w:val="none" w:sz="0" w:space="0" w:color="auto"/>
        <w:bottom w:val="none" w:sz="0" w:space="0" w:color="auto"/>
        <w:right w:val="none" w:sz="0" w:space="0" w:color="auto"/>
      </w:divBdr>
    </w:div>
    <w:div w:id="1315574085">
      <w:bodyDiv w:val="1"/>
      <w:marLeft w:val="0"/>
      <w:marRight w:val="0"/>
      <w:marTop w:val="0"/>
      <w:marBottom w:val="0"/>
      <w:divBdr>
        <w:top w:val="none" w:sz="0" w:space="0" w:color="auto"/>
        <w:left w:val="none" w:sz="0" w:space="0" w:color="auto"/>
        <w:bottom w:val="none" w:sz="0" w:space="0" w:color="auto"/>
        <w:right w:val="none" w:sz="0" w:space="0" w:color="auto"/>
      </w:divBdr>
    </w:div>
    <w:div w:id="1379545526">
      <w:bodyDiv w:val="1"/>
      <w:marLeft w:val="0"/>
      <w:marRight w:val="0"/>
      <w:marTop w:val="0"/>
      <w:marBottom w:val="0"/>
      <w:divBdr>
        <w:top w:val="none" w:sz="0" w:space="0" w:color="auto"/>
        <w:left w:val="none" w:sz="0" w:space="0" w:color="auto"/>
        <w:bottom w:val="none" w:sz="0" w:space="0" w:color="auto"/>
        <w:right w:val="none" w:sz="0" w:space="0" w:color="auto"/>
      </w:divBdr>
    </w:div>
    <w:div w:id="1525023304">
      <w:bodyDiv w:val="1"/>
      <w:marLeft w:val="0"/>
      <w:marRight w:val="0"/>
      <w:marTop w:val="0"/>
      <w:marBottom w:val="0"/>
      <w:divBdr>
        <w:top w:val="none" w:sz="0" w:space="0" w:color="auto"/>
        <w:left w:val="none" w:sz="0" w:space="0" w:color="auto"/>
        <w:bottom w:val="none" w:sz="0" w:space="0" w:color="auto"/>
        <w:right w:val="none" w:sz="0" w:space="0" w:color="auto"/>
      </w:divBdr>
    </w:div>
    <w:div w:id="1868983288">
      <w:bodyDiv w:val="1"/>
      <w:marLeft w:val="0"/>
      <w:marRight w:val="0"/>
      <w:marTop w:val="0"/>
      <w:marBottom w:val="0"/>
      <w:divBdr>
        <w:top w:val="none" w:sz="0" w:space="0" w:color="auto"/>
        <w:left w:val="none" w:sz="0" w:space="0" w:color="auto"/>
        <w:bottom w:val="none" w:sz="0" w:space="0" w:color="auto"/>
        <w:right w:val="none" w:sz="0" w:space="0" w:color="auto"/>
      </w:divBdr>
    </w:div>
    <w:div w:id="1916235567">
      <w:bodyDiv w:val="1"/>
      <w:marLeft w:val="0"/>
      <w:marRight w:val="0"/>
      <w:marTop w:val="0"/>
      <w:marBottom w:val="0"/>
      <w:divBdr>
        <w:top w:val="none" w:sz="0" w:space="0" w:color="auto"/>
        <w:left w:val="none" w:sz="0" w:space="0" w:color="auto"/>
        <w:bottom w:val="none" w:sz="0" w:space="0" w:color="auto"/>
        <w:right w:val="none" w:sz="0" w:space="0" w:color="auto"/>
      </w:divBdr>
    </w:div>
    <w:div w:id="1944802987">
      <w:bodyDiv w:val="1"/>
      <w:marLeft w:val="0"/>
      <w:marRight w:val="0"/>
      <w:marTop w:val="0"/>
      <w:marBottom w:val="0"/>
      <w:divBdr>
        <w:top w:val="none" w:sz="0" w:space="0" w:color="auto"/>
        <w:left w:val="none" w:sz="0" w:space="0" w:color="auto"/>
        <w:bottom w:val="none" w:sz="0" w:space="0" w:color="auto"/>
        <w:right w:val="none" w:sz="0" w:space="0" w:color="auto"/>
      </w:divBdr>
    </w:div>
    <w:div w:id="1955206686">
      <w:bodyDiv w:val="1"/>
      <w:marLeft w:val="0"/>
      <w:marRight w:val="0"/>
      <w:marTop w:val="0"/>
      <w:marBottom w:val="0"/>
      <w:divBdr>
        <w:top w:val="none" w:sz="0" w:space="0" w:color="auto"/>
        <w:left w:val="none" w:sz="0" w:space="0" w:color="auto"/>
        <w:bottom w:val="none" w:sz="0" w:space="0" w:color="auto"/>
        <w:right w:val="none" w:sz="0" w:space="0" w:color="auto"/>
      </w:divBdr>
    </w:div>
    <w:div w:id="1963027421">
      <w:bodyDiv w:val="1"/>
      <w:marLeft w:val="0"/>
      <w:marRight w:val="0"/>
      <w:marTop w:val="0"/>
      <w:marBottom w:val="0"/>
      <w:divBdr>
        <w:top w:val="none" w:sz="0" w:space="0" w:color="auto"/>
        <w:left w:val="none" w:sz="0" w:space="0" w:color="auto"/>
        <w:bottom w:val="none" w:sz="0" w:space="0" w:color="auto"/>
        <w:right w:val="none" w:sz="0" w:space="0" w:color="auto"/>
      </w:divBdr>
    </w:div>
    <w:div w:id="2038584197">
      <w:bodyDiv w:val="1"/>
      <w:marLeft w:val="0"/>
      <w:marRight w:val="0"/>
      <w:marTop w:val="0"/>
      <w:marBottom w:val="0"/>
      <w:divBdr>
        <w:top w:val="none" w:sz="0" w:space="0" w:color="auto"/>
        <w:left w:val="none" w:sz="0" w:space="0" w:color="auto"/>
        <w:bottom w:val="none" w:sz="0" w:space="0" w:color="auto"/>
        <w:right w:val="none" w:sz="0" w:space="0" w:color="auto"/>
      </w:divBdr>
    </w:div>
    <w:div w:id="20623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1FA89-F5BF-4D3A-9411-7168082D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6726</TotalTime>
  <Pages>20</Pages>
  <Words>8032</Words>
  <Characters>45783</Characters>
  <Application>Microsoft Office Word</Application>
  <DocSecurity>0</DocSecurity>
  <Lines>381</Lines>
  <Paragraphs>107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Petyo</dc:creator>
  <cp:lastModifiedBy>Petyo</cp:lastModifiedBy>
  <cp:revision>106</cp:revision>
  <dcterms:created xsi:type="dcterms:W3CDTF">2021-04-16T13:52:00Z</dcterms:created>
  <dcterms:modified xsi:type="dcterms:W3CDTF">2024-10-22T04:52:00Z</dcterms:modified>
</cp:coreProperties>
</file>